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November 6, 2001</w:t>
      </w:r>
    </w:p>
    <w:p>
      <w:pPr>
        <w:pStyle w:val="Normal"/>
        <w:jc w:val="center"/>
        <w:rPr/>
      </w:pPr>
      <w:r>
        <w:rPr/>
      </w:r>
    </w:p>
    <w:p>
      <w:pPr>
        <w:pStyle w:val="Normal"/>
        <w:jc w:val="center"/>
        <w:rPr/>
      </w:pPr>
      <w:r>
        <w:rPr/>
      </w:r>
    </w:p>
    <w:p>
      <w:pPr>
        <w:pStyle w:val="Normal"/>
        <w:jc w:val="center"/>
        <w:rPr/>
      </w:pPr>
      <w:r>
        <w:rPr/>
      </w:r>
    </w:p>
    <w:p>
      <w:pPr>
        <w:pStyle w:val="Heading1"/>
        <w:ind w:hanging="0" w:start="0"/>
        <w:rPr/>
      </w:pPr>
      <w:r>
        <w:rPr/>
        <w:t>Via Facsimile</w:t>
      </w:r>
    </w:p>
    <w:p>
      <w:pPr>
        <w:pStyle w:val="Normal"/>
        <w:rPr/>
      </w:pPr>
      <w:r>
        <w:rPr/>
      </w:r>
    </w:p>
    <w:p>
      <w:pPr>
        <w:pStyle w:val="Normal"/>
        <w:rPr/>
      </w:pPr>
      <w:r>
        <w:rPr/>
        <w:t xml:space="preserve">PJM Interconnection LLC </w:t>
      </w:r>
    </w:p>
    <w:p>
      <w:pPr>
        <w:pStyle w:val="Normal"/>
        <w:rPr/>
      </w:pPr>
      <w:r>
        <w:rPr/>
        <w:t>955 Jefferson Avenue</w:t>
      </w:r>
    </w:p>
    <w:p>
      <w:pPr>
        <w:pStyle w:val="Normal"/>
        <w:rPr/>
      </w:pPr>
      <w:r>
        <w:rPr/>
        <w:t>Valley Forge Corporate Center</w:t>
      </w:r>
    </w:p>
    <w:p>
      <w:pPr>
        <w:pStyle w:val="Normal"/>
        <w:rPr/>
      </w:pPr>
      <w:r>
        <w:rPr/>
        <w:t>Norristown, PA  19403-2497</w:t>
      </w:r>
    </w:p>
    <w:p>
      <w:pPr>
        <w:pStyle w:val="Normal"/>
        <w:rPr/>
      </w:pPr>
      <w:r>
        <w:rPr/>
      </w:r>
    </w:p>
    <w:p>
      <w:pPr>
        <w:pStyle w:val="Normal"/>
        <w:rPr/>
      </w:pPr>
      <w:r>
        <w:rPr/>
        <w:t>Re: Purported Notice of Breach</w:t>
      </w:r>
    </w:p>
    <w:p>
      <w:pPr>
        <w:pStyle w:val="Normal"/>
        <w:rPr/>
      </w:pPr>
      <w:r>
        <w:rPr/>
        <w:tab/>
      </w:r>
    </w:p>
    <w:p>
      <w:pPr>
        <w:pStyle w:val="Normal"/>
        <w:rPr/>
      </w:pPr>
      <w:r>
        <w:rPr/>
        <w:t>Dear Mr. Fuentes</w:t>
      </w:r>
    </w:p>
    <w:p>
      <w:pPr>
        <w:pStyle w:val="Normal"/>
        <w:rPr/>
      </w:pPr>
      <w:r>
        <w:rPr/>
        <w:tab/>
      </w:r>
    </w:p>
    <w:p>
      <w:pPr>
        <w:pStyle w:val="Normal"/>
        <w:jc w:val="both"/>
        <w:rPr/>
      </w:pPr>
      <w:r>
        <w:rPr/>
        <w:t>Enron Corp. does not accept that it is in breach of any agreement with PJM Interconnection LLC  (“PJM”) or that PJM is entitled to require Enron Power Marketing, Inc. (“EPMI”) or Enron Energy Services, Inc. (“EESI”) to provide collateral to PJM in the amounts of $30,000,000 and $1,000,000 respectively, since Enron Corp. has provided “Financial Assurance” in the form of corporate guarantees in excess of the aforementioned sums.</w:t>
      </w:r>
    </w:p>
    <w:p>
      <w:pPr>
        <w:pStyle w:val="Normal"/>
        <w:jc w:val="both"/>
        <w:rPr/>
      </w:pPr>
      <w:r>
        <w:rPr/>
        <w:tab/>
      </w:r>
    </w:p>
    <w:p>
      <w:pPr>
        <w:pStyle w:val="Normal"/>
        <w:jc w:val="both"/>
        <w:rPr/>
      </w:pPr>
      <w:r>
        <w:rPr/>
        <w:t xml:space="preserve">You state in your purported Notice of Breach that “ Pursuant to Section 4.C of the Credit Policy, PJM has, until now, accepted Enron Corporation’s corporate guarantees in satisfaction of the credit obligations of EPMI and EESI, based on Enron Corporation’s past bond rating.”  Section 4 A. 1. of the Credit Policy is very clear as to the bond ratings at which a counterparty will be considered creditworthy, </w:t>
      </w:r>
      <w:r>
        <w:rPr>
          <w:u w:val="single"/>
        </w:rPr>
        <w:t>i.e.</w:t>
      </w:r>
      <w:r>
        <w:rPr/>
        <w:t xml:space="preserve">, counterparties having a minimum bond rating of “BBB” for Standard &amp; Poor’s and “Baa2” for Moody’s will be allowed to post guarantee.  Enron Corp.’s bond ratings are, as you are aware, BBB from S&amp;P and Baa2 from Moody’s.  Pursuant to the express terms of Section 4.A.1 of the Credit Policy, provided a Participant’s rating is at the aforementioned levels a Participant will not be required to furnish additional “Financial Assurances”. </w:t>
      </w:r>
    </w:p>
    <w:p>
      <w:pPr>
        <w:pStyle w:val="Normal"/>
        <w:jc w:val="both"/>
        <w:rPr/>
      </w:pPr>
      <w:r>
        <w:rPr/>
      </w:r>
    </w:p>
    <w:p>
      <w:pPr>
        <w:pStyle w:val="Normal"/>
        <w:jc w:val="both"/>
        <w:rPr/>
      </w:pPr>
      <w:r>
        <w:rPr/>
        <w:t>Further, Section 4 C. d. of the Credit Policy, states that “ The corporate guaranty may be used only if the Applicant or Participant is affiliated with a Guarantor that has at a minimum, an investment grade corporate debt rating of “BBB” by Standard &amp; Poor's, or “Baa2” by Moody’s.”  Since Enron Corp. has at least these credit ratings, Enron Corp. is at a loss to understand why PJM believes there has been a breach and that it is entitled to call for other “Financial Assurance”.</w:t>
      </w:r>
    </w:p>
    <w:p>
      <w:pPr>
        <w:pStyle w:val="Normal"/>
        <w:jc w:val="both"/>
        <w:rPr/>
      </w:pPr>
      <w:r>
        <w:rPr/>
        <w:tab/>
      </w:r>
    </w:p>
    <w:p>
      <w:pPr>
        <w:pStyle w:val="Normal"/>
        <w:jc w:val="both"/>
        <w:rPr/>
      </w:pPr>
      <w:r>
        <w:rPr/>
        <w:t xml:space="preserve">Since Enron Corp. has not been downgraded to below the minimum required level before replacement/additional “Financial Assurance” is required under the Credit Policy, PJM is not entitled under the Credit Policy to require that Enron Corp., EPMI or EESI provide “Financial Assurance” in another form other than a corporate guaranty from Enron Corp. </w:t>
      </w:r>
    </w:p>
    <w:p>
      <w:pPr>
        <w:pStyle w:val="Normal"/>
        <w:jc w:val="both"/>
        <w:rPr/>
      </w:pPr>
      <w:r>
        <w:rPr/>
      </w:r>
    </w:p>
    <w:p>
      <w:pPr>
        <w:pStyle w:val="BodyText"/>
        <w:rPr/>
      </w:pPr>
      <w:r>
        <w:rPr/>
        <w:t>Any material adverse change must be such as to have caused a downgrade below the minimum levels set out in the Credit Policy, and, since this has not occurred, we invite PJM to withdraw its purported Notice of Breach.  Please notify us immediately if you disagree with our understanding of the Credit Policies.  Thank you for your immediate attention to these matters.</w:t>
      </w:r>
    </w:p>
    <w:p>
      <w:pPr>
        <w:pStyle w:val="BodyText"/>
        <w:rPr/>
      </w:pPr>
      <w:r>
        <w:rPr/>
      </w:r>
    </w:p>
    <w:p>
      <w:pPr>
        <w:pStyle w:val="BodyText"/>
        <w:rPr/>
      </w:pPr>
      <w:r>
        <w:rPr/>
      </w:r>
    </w:p>
    <w:p>
      <w:pPr>
        <w:pStyle w:val="BodyText"/>
        <w:rPr/>
      </w:pPr>
      <w:r>
        <w:rPr/>
        <w:tab/>
        <w:tab/>
        <w:tab/>
        <w:tab/>
        <w:tab/>
        <w:tab/>
        <w:t>Very truly yours,</w:t>
      </w:r>
    </w:p>
    <w:p>
      <w:pPr>
        <w:pStyle w:val="BodyText"/>
        <w:rPr/>
      </w:pPr>
      <w:r>
        <w:rPr/>
      </w:r>
    </w:p>
    <w:p>
      <w:pPr>
        <w:pStyle w:val="BodyText"/>
        <w:rPr/>
      </w:pPr>
      <w:r>
        <w:rPr/>
      </w:r>
    </w:p>
    <w:p>
      <w:pPr>
        <w:pStyle w:val="BodyText"/>
        <w:rPr/>
      </w:pPr>
      <w:r>
        <w:rPr/>
      </w:r>
    </w:p>
    <w:p>
      <w:pPr>
        <w:pStyle w:val="BodyText"/>
        <w:rPr/>
      </w:pPr>
      <w:r>
        <w:rPr/>
        <w:tab/>
        <w:tab/>
        <w:tab/>
        <w:tab/>
        <w:tab/>
        <w:tab/>
        <w:t>William S. Bradford</w:t>
      </w:r>
    </w:p>
    <w:p>
      <w:pPr>
        <w:pStyle w:val="Normal"/>
        <w:rPr/>
      </w:pPr>
      <w:r>
        <w:rPr/>
        <w:tab/>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i/>
      <w:i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2001-11-05T22:17:00Z</dcterms:created>
  <dc:creator>Marcus Nettelton</dc:creator>
  <dc:description/>
  <dc:language>en-CA</dc:language>
  <cp:lastModifiedBy>Lsimmo2</cp:lastModifiedBy>
  <cp:lastPrinted>2001-11-06T10:32:00Z</cp:lastPrinted>
  <dcterms:modified xsi:type="dcterms:W3CDTF">2001-11-06T14:09:00Z</dcterms:modified>
  <cp:revision>8</cp:revision>
  <dc:subject/>
  <dc:title/>
</cp:coreProperties>
</file>