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January 28, 2002</w:t>
      </w:r>
    </w:p>
    <w:p>
      <w:pPr>
        <w:pStyle w:val="Normal"/>
        <w:rPr>
          <w:sz w:val="24"/>
        </w:rPr>
      </w:pPr>
      <w:r>
        <w:rPr>
          <w:sz w:val="24"/>
        </w:rPr>
      </w:r>
    </w:p>
    <w:p>
      <w:pPr>
        <w:pStyle w:val="Normal"/>
        <w:rPr>
          <w:sz w:val="24"/>
        </w:rPr>
      </w:pPr>
      <w:r>
        <w:rPr>
          <w:sz w:val="24"/>
        </w:rPr>
      </w:r>
    </w:p>
    <w:p>
      <w:pPr>
        <w:pStyle w:val="Normal"/>
        <w:rPr>
          <w:sz w:val="24"/>
        </w:rPr>
      </w:pPr>
      <w:r>
        <w:rPr>
          <w:sz w:val="24"/>
        </w:rPr>
        <w:t>Mr. David Boergers, Secretary</w:t>
      </w:r>
    </w:p>
    <w:p>
      <w:pPr>
        <w:pStyle w:val="Normal"/>
        <w:rPr>
          <w:sz w:val="24"/>
        </w:rPr>
      </w:pPr>
      <w:r>
        <w:rPr>
          <w:sz w:val="24"/>
        </w:rPr>
        <w:t>Federal Energy Regulatory Commission</w:t>
      </w:r>
    </w:p>
    <w:p>
      <w:pPr>
        <w:pStyle w:val="Normal"/>
        <w:rPr>
          <w:sz w:val="24"/>
        </w:rPr>
      </w:pPr>
      <w:r>
        <w:rPr>
          <w:sz w:val="24"/>
        </w:rPr>
        <w:t>888 First Street, N.E., Room 1A</w:t>
      </w:r>
    </w:p>
    <w:p>
      <w:pPr>
        <w:pStyle w:val="Normal"/>
        <w:rPr>
          <w:sz w:val="24"/>
        </w:rPr>
      </w:pPr>
      <w:r>
        <w:rPr>
          <w:sz w:val="24"/>
        </w:rPr>
        <w:t>Washington, D.C.  20426</w:t>
      </w:r>
    </w:p>
    <w:p>
      <w:pPr>
        <w:pStyle w:val="Normal"/>
        <w:rPr>
          <w:sz w:val="24"/>
        </w:rPr>
      </w:pPr>
      <w:r>
        <w:rPr>
          <w:sz w:val="24"/>
        </w:rPr>
      </w:r>
    </w:p>
    <w:p>
      <w:pPr>
        <w:pStyle w:val="Normal"/>
        <w:rPr>
          <w:b/>
          <w:sz w:val="24"/>
        </w:rPr>
      </w:pPr>
      <w:r>
        <w:rPr>
          <w:b/>
          <w:sz w:val="24"/>
        </w:rPr>
        <w:t>Re:</w:t>
        <w:tab/>
        <w:t>OEP/DPC/CGI</w:t>
      </w:r>
    </w:p>
    <w:p>
      <w:pPr>
        <w:pStyle w:val="Normal"/>
        <w:ind w:firstLine="720" w:end="0"/>
        <w:rPr>
          <w:b/>
          <w:sz w:val="24"/>
        </w:rPr>
      </w:pPr>
      <w:r>
        <w:rPr>
          <w:b/>
          <w:sz w:val="24"/>
        </w:rPr>
        <w:t>Docket No. CP02-27-000</w:t>
      </w:r>
    </w:p>
    <w:p>
      <w:pPr>
        <w:pStyle w:val="Normal"/>
        <w:rPr>
          <w:b/>
          <w:sz w:val="24"/>
        </w:rPr>
      </w:pPr>
      <w:r>
        <w:rPr>
          <w:b/>
          <w:sz w:val="24"/>
        </w:rPr>
        <w:tab/>
        <w:t>Florida Gas Transmission Company</w:t>
      </w:r>
    </w:p>
    <w:p>
      <w:pPr>
        <w:pStyle w:val="Normal"/>
        <w:rPr>
          <w:b/>
          <w:sz w:val="24"/>
        </w:rPr>
      </w:pPr>
      <w:r>
        <w:rPr>
          <w:b/>
          <w:sz w:val="24"/>
        </w:rPr>
        <w:tab/>
        <w:t>Data Request Dated January 11, 2002</w:t>
      </w:r>
    </w:p>
    <w:p>
      <w:pPr>
        <w:pStyle w:val="Normal"/>
        <w:rPr>
          <w:b/>
          <w:sz w:val="24"/>
        </w:rPr>
      </w:pPr>
      <w:r>
        <w:rPr>
          <w:b/>
          <w:sz w:val="24"/>
        </w:rPr>
      </w:r>
    </w:p>
    <w:p>
      <w:pPr>
        <w:pStyle w:val="Normal"/>
        <w:rPr>
          <w:sz w:val="24"/>
        </w:rPr>
      </w:pPr>
      <w:r>
        <w:rPr>
          <w:sz w:val="24"/>
        </w:rPr>
        <w:t>Dear Mr. Boergers:</w:t>
      </w:r>
    </w:p>
    <w:p>
      <w:pPr>
        <w:pStyle w:val="Normal"/>
        <w:jc w:val="both"/>
        <w:rPr>
          <w:sz w:val="24"/>
        </w:rPr>
      </w:pPr>
      <w:r>
        <w:rPr>
          <w:sz w:val="24"/>
        </w:rPr>
      </w:r>
    </w:p>
    <w:p>
      <w:pPr>
        <w:pStyle w:val="Normal"/>
        <w:jc w:val="both"/>
        <w:rPr>
          <w:sz w:val="24"/>
        </w:rPr>
      </w:pPr>
      <w:r>
        <w:rPr>
          <w:sz w:val="24"/>
        </w:rPr>
        <w:t>Pursuant to your request of January 11, 2002, Florida Gas Transmission Company (FGT) submits herewith for filing an original and seven (7) of FGT’s response to the above referenced data request.</w:t>
      </w:r>
    </w:p>
    <w:p>
      <w:pPr>
        <w:pStyle w:val="BodyTextIndent2"/>
        <w:rPr>
          <w:sz w:val="24"/>
        </w:rPr>
      </w:pPr>
      <w:r>
        <w:rPr>
          <w:sz w:val="24"/>
        </w:rPr>
      </w:r>
    </w:p>
    <w:p>
      <w:pPr>
        <w:pStyle w:val="Normal"/>
        <w:rPr>
          <w:sz w:val="24"/>
        </w:rPr>
      </w:pPr>
      <w:r>
        <w:rPr>
          <w:sz w:val="24"/>
        </w:rPr>
        <w:t>Also, enclosed are four additional copies of the response to be date stamped and returned to the messenger.</w:t>
      </w:r>
    </w:p>
    <w:p>
      <w:pPr>
        <w:pStyle w:val="Normal"/>
        <w:jc w:val="both"/>
        <w:rPr>
          <w:sz w:val="24"/>
        </w:rPr>
      </w:pPr>
      <w:r>
        <w:rPr>
          <w:sz w:val="24"/>
        </w:rPr>
      </w:r>
    </w:p>
    <w:p>
      <w:pPr>
        <w:pStyle w:val="Normal"/>
        <w:jc w:val="both"/>
        <w:rPr>
          <w:sz w:val="24"/>
        </w:rPr>
      </w:pPr>
      <w:r>
        <w:rPr>
          <w:sz w:val="24"/>
        </w:rPr>
        <w:t>Respectfully submitted,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Stephen T. Veatch</w:t>
      </w:r>
    </w:p>
    <w:p>
      <w:pPr>
        <w:pStyle w:val="Normal"/>
        <w:jc w:val="both"/>
        <w:rPr>
          <w:sz w:val="24"/>
        </w:rPr>
      </w:pPr>
      <w:r>
        <w:rPr>
          <w:sz w:val="24"/>
        </w:rPr>
        <w:t>Director, Certificates</w:t>
      </w:r>
    </w:p>
    <w:p>
      <w:pPr>
        <w:pStyle w:val="Normal"/>
        <w:jc w:val="both"/>
        <w:rPr>
          <w:sz w:val="24"/>
        </w:rPr>
      </w:pPr>
      <w:r>
        <w:rPr>
          <w:sz w:val="24"/>
        </w:rPr>
        <w:t xml:space="preserve">    </w:t>
      </w:r>
      <w:r>
        <w:rPr>
          <w:sz w:val="24"/>
        </w:rPr>
        <w:t>and Regulatory Reporting</w:t>
      </w:r>
    </w:p>
    <w:p>
      <w:pPr>
        <w:pStyle w:val="Normal"/>
        <w:jc w:val="both"/>
        <w:rPr>
          <w:sz w:val="24"/>
        </w:rPr>
      </w:pPr>
      <w:r>
        <w:rPr>
          <w:sz w:val="24"/>
        </w:rPr>
      </w:r>
    </w:p>
    <w:p>
      <w:pPr>
        <w:pStyle w:val="Normal"/>
        <w:jc w:val="center"/>
        <w:rPr>
          <w:sz w:val="24"/>
        </w:rPr>
      </w:pPr>
      <w:r>
        <w:rPr>
          <w:sz w:val="24"/>
        </w:rPr>
      </w:r>
    </w:p>
    <w:p>
      <w:pPr>
        <w:pStyle w:val="Heading"/>
        <w:rPr>
          <w:sz w:val="24"/>
        </w:rPr>
      </w:pPr>
      <w:r>
        <w:rPr>
          <w:sz w:val="24"/>
        </w:rPr>
      </w:r>
    </w:p>
    <w:p>
      <w:pPr>
        <w:pStyle w:val="Heading"/>
        <w:rPr>
          <w:sz w:val="24"/>
        </w:rPr>
      </w:pPr>
      <w:r>
        <w:rPr>
          <w:sz w:val="24"/>
        </w:rPr>
      </w:r>
    </w:p>
    <w:p>
      <w:pPr>
        <w:pStyle w:val="Heading"/>
        <w:jc w:val="both"/>
        <w:rPr>
          <w:sz w:val="24"/>
        </w:rPr>
      </w:pPr>
      <w:r>
        <w:rPr>
          <w:sz w:val="24"/>
        </w:rPr>
      </w:r>
    </w:p>
    <w:p>
      <w:pPr>
        <w:pStyle w:val="Heading"/>
        <w:jc w:val="start"/>
        <w:rPr>
          <w:b w:val="false"/>
          <w:sz w:val="24"/>
        </w:rPr>
      </w:pPr>
      <w:r>
        <w:rPr>
          <w:b w:val="false"/>
          <w:sz w:val="24"/>
        </w:rPr>
        <w:t>cc:</w:t>
        <w:tab/>
        <w:t>Mr. Edward J. Fowlkes, Team Leader</w:t>
      </w:r>
    </w:p>
    <w:p>
      <w:pPr>
        <w:pStyle w:val="Heading"/>
        <w:jc w:val="start"/>
        <w:rPr>
          <w:b w:val="false"/>
          <w:sz w:val="24"/>
        </w:rPr>
      </w:pPr>
      <w:r>
        <w:rPr>
          <w:b w:val="false"/>
          <w:sz w:val="24"/>
        </w:rPr>
        <w:tab/>
        <w:t xml:space="preserve">Division of Pipeline Certificates, Branch 1, </w:t>
      </w:r>
    </w:p>
    <w:p>
      <w:pPr>
        <w:pStyle w:val="Heading"/>
        <w:ind w:firstLine="720" w:end="0"/>
        <w:jc w:val="start"/>
        <w:rPr>
          <w:b w:val="false"/>
          <w:sz w:val="24"/>
        </w:rPr>
      </w:pPr>
      <w:r>
        <w:rPr>
          <w:b w:val="false"/>
          <w:sz w:val="24"/>
        </w:rPr>
        <w:t xml:space="preserve">    </w:t>
      </w:r>
      <w:r>
        <w:rPr>
          <w:b w:val="false"/>
          <w:sz w:val="24"/>
        </w:rPr>
        <w:t>Office of Energy Projects</w:t>
      </w:r>
      <w:r>
        <w:br w:type="page"/>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Normal"/>
        <w:rPr/>
      </w:pPr>
      <w:r>
        <w:rPr/>
      </w:r>
    </w:p>
    <w:p>
      <w:pPr>
        <w:pStyle w:val="Heading3"/>
        <w:ind w:hanging="0" w:start="0"/>
        <w:rPr/>
      </w:pPr>
      <w:r>
        <w:rPr/>
        <w:t>Levelized Depreciation</w:t>
      </w:r>
    </w:p>
    <w:p>
      <w:pPr>
        <w:pStyle w:val="Normal"/>
        <w:rPr/>
      </w:pPr>
      <w:r>
        <w:rPr/>
      </w:r>
    </w:p>
    <w:p>
      <w:pPr>
        <w:pStyle w:val="Normal"/>
        <w:numPr>
          <w:ilvl w:val="0"/>
          <w:numId w:val="3"/>
        </w:numPr>
        <w:rPr/>
      </w:pPr>
      <w:r>
        <w:rPr/>
        <w:t>In FGT’s Exhibit L, Page 8 of 15, FGT provides depreciation expense amounts which are net of a levelization adjustment.</w:t>
      </w:r>
    </w:p>
    <w:p>
      <w:pPr>
        <w:pStyle w:val="Normal"/>
        <w:rPr/>
      </w:pPr>
      <w:r>
        <w:rPr/>
      </w:r>
    </w:p>
    <w:p>
      <w:pPr>
        <w:pStyle w:val="Normal"/>
        <w:numPr>
          <w:ilvl w:val="1"/>
          <w:numId w:val="3"/>
        </w:numPr>
        <w:rPr/>
      </w:pPr>
      <w:r>
        <w:rPr/>
        <w:t>Please explain what this statement means (i.e., Does the depreciation expense amounts represent a combination of straight-line and levelized depreciation or the remainder of the straight-line depreciation after deductions of the levelized depreciation amounts?  Please explain and provide reference to any Commission Orders approving depreciation expense net.</w:t>
      </w:r>
    </w:p>
    <w:p>
      <w:pPr>
        <w:pStyle w:val="Normal"/>
        <w:ind w:start="1080" w:end="0"/>
        <w:rPr/>
      </w:pPr>
      <w:r>
        <w:rPr/>
      </w:r>
    </w:p>
    <w:p>
      <w:pPr>
        <w:pStyle w:val="Normal"/>
        <w:numPr>
          <w:ilvl w:val="1"/>
          <w:numId w:val="3"/>
        </w:numPr>
        <w:rPr/>
      </w:pPr>
      <w:r>
        <w:rPr/>
        <w:t>“</w:t>
      </w:r>
      <w:r>
        <w:rPr/>
        <w:t>(c)”  P lease provide the computation showing how FGT computed Year 1 and Year depreciation expense amounts.</w:t>
      </w:r>
    </w:p>
    <w:p>
      <w:pPr>
        <w:pStyle w:val="Normal"/>
        <w:rPr/>
      </w:pPr>
      <w:r>
        <w:rPr/>
      </w:r>
    </w:p>
    <w:p>
      <w:pPr>
        <w:pStyle w:val="Normal"/>
        <w:numPr>
          <w:ilvl w:val="1"/>
          <w:numId w:val="3"/>
        </w:numPr>
        <w:rPr/>
      </w:pPr>
      <w:r>
        <w:rPr/>
        <w:t>“</w:t>
      </w:r>
      <w:r>
        <w:rPr/>
        <w:t>(d)”  In what account, if any, does FGT propose to record amounts relating to levelized depreciation?</w:t>
      </w:r>
    </w:p>
    <w:p>
      <w:pPr>
        <w:pStyle w:val="Normal"/>
        <w:rPr/>
      </w:pPr>
      <w:r>
        <w:rPr/>
      </w:r>
    </w:p>
    <w:p>
      <w:pPr>
        <w:pStyle w:val="Normal"/>
        <w:ind w:start="1440" w:end="0"/>
        <w:rPr/>
      </w:pPr>
      <w:r>
        <w:rPr/>
        <w:t>If a regulatory asset and/or regulatory liability is not appropriate for this project:</w:t>
      </w:r>
    </w:p>
    <w:p>
      <w:pPr>
        <w:pStyle w:val="Normal"/>
        <w:ind w:start="1440" w:end="0"/>
        <w:rPr/>
      </w:pPr>
      <w:r>
        <w:rPr/>
      </w:r>
    </w:p>
    <w:p>
      <w:pPr>
        <w:pStyle w:val="Normal"/>
        <w:numPr>
          <w:ilvl w:val="3"/>
          <w:numId w:val="3"/>
        </w:numPr>
        <w:tabs>
          <w:tab w:val="clear" w:pos="720"/>
          <w:tab w:val="left" w:pos="1800" w:leader="none"/>
        </w:tabs>
        <w:ind w:hanging="360" w:start="1800" w:end="0"/>
        <w:rPr/>
      </w:pPr>
      <w:r>
        <w:rPr/>
        <w:t>please provide the necessary support (e.g. Commission Orders) explaining why a regulatory asset and/or regulatory liabili8ty is not appropriate?</w:t>
      </w:r>
    </w:p>
    <w:p>
      <w:pPr>
        <w:pStyle w:val="Normal"/>
        <w:ind w:start="1440" w:end="0"/>
        <w:rPr/>
      </w:pPr>
      <w:r>
        <w:rPr/>
      </w:r>
    </w:p>
    <w:p>
      <w:pPr>
        <w:pStyle w:val="Normal"/>
        <w:numPr>
          <w:ilvl w:val="3"/>
          <w:numId w:val="3"/>
        </w:numPr>
        <w:tabs>
          <w:tab w:val="clear" w:pos="720"/>
          <w:tab w:val="left" w:pos="1800" w:leader="none"/>
        </w:tabs>
        <w:ind w:hanging="360" w:start="1800" w:end="0"/>
        <w:rPr/>
      </w:pPr>
      <w:r>
        <w:rPr/>
        <w:t>Please state what account is appropriate and provide the necessary support (i.e. Commission Orders and/or account regulations) for FGT’s response.</w:t>
      </w:r>
    </w:p>
    <w:p>
      <w:pPr>
        <w:pStyle w:val="Normal"/>
        <w:ind w:hanging="1440" w:start="360" w:end="0"/>
        <w:rPr>
          <w:sz w:val="24"/>
        </w:rPr>
      </w:pPr>
      <w:r>
        <w:rPr>
          <w:sz w:val="24"/>
        </w:rPr>
      </w:r>
    </w:p>
    <w:p>
      <w:pPr>
        <w:pStyle w:val="Normal"/>
        <w:jc w:val="both"/>
        <w:rPr>
          <w:sz w:val="24"/>
        </w:rPr>
      </w:pPr>
      <w:r>
        <w:rPr>
          <w:sz w:val="24"/>
        </w:rPr>
      </w:r>
    </w:p>
    <w:p>
      <w:pPr>
        <w:pStyle w:val="Heading2"/>
        <w:ind w:hanging="0" w:start="0"/>
        <w:rPr/>
      </w:pPr>
      <w:r>
        <w:rPr/>
        <w:t>Response provided by:</w:t>
        <w:tab/>
        <w:t>Teb Lokey, Director of Rates &amp; Tariffs – 713-853-6868</w:t>
      </w:r>
    </w:p>
    <w:p>
      <w:pPr>
        <w:pStyle w:val="Normal"/>
        <w:rPr/>
      </w:pPr>
      <w:r>
        <w:rPr/>
      </w:r>
    </w:p>
    <w:p>
      <w:pPr>
        <w:pStyle w:val="Normal"/>
        <w:rPr/>
      </w:pPr>
      <w:r>
        <w:rPr/>
      </w:r>
    </w:p>
    <w:p>
      <w:pPr>
        <w:pStyle w:val="Normal"/>
        <w:rPr/>
      </w:pPr>
      <w:r>
        <w:rPr/>
      </w:r>
      <w:r>
        <w:br w:type="page"/>
      </w:r>
    </w:p>
    <w:p>
      <w:pPr>
        <w:pStyle w:val="Normal"/>
        <w:jc w:val="both"/>
        <w:rPr/>
      </w:pPr>
      <w:r>
        <w:rPr/>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Heading1"/>
        <w:ind w:hanging="0" w:start="0"/>
        <w:rPr/>
      </w:pPr>
      <w:r>
        <w:rPr/>
        <w:t>AFUDC</w:t>
      </w:r>
    </w:p>
    <w:p>
      <w:pPr>
        <w:pStyle w:val="Normal"/>
        <w:ind w:hanging="1440" w:start="1440" w:end="0"/>
        <w:rPr>
          <w:sz w:val="24"/>
        </w:rPr>
      </w:pPr>
      <w:r>
        <w:rPr>
          <w:sz w:val="24"/>
        </w:rPr>
      </w:r>
    </w:p>
    <w:p>
      <w:pPr>
        <w:pStyle w:val="Normal"/>
        <w:numPr>
          <w:ilvl w:val="0"/>
          <w:numId w:val="2"/>
        </w:numPr>
        <w:jc w:val="both"/>
        <w:rPr/>
      </w:pPr>
      <w:r>
        <w:rPr/>
        <w:t>In Exhibit K, FGT states its total AFUDC will be $5,485,156.</w:t>
      </w:r>
    </w:p>
    <w:p>
      <w:pPr>
        <w:pStyle w:val="Normal"/>
        <w:jc w:val="both"/>
        <w:rPr/>
      </w:pPr>
      <w:r>
        <w:rPr/>
      </w:r>
    </w:p>
    <w:p>
      <w:pPr>
        <w:pStyle w:val="Normal"/>
        <w:ind w:firstLine="360" w:start="360" w:end="0"/>
        <w:jc w:val="both"/>
        <w:rPr/>
      </w:pPr>
      <w:r>
        <w:rPr/>
        <w:t>Please provide the necessary supporting documents showing:</w:t>
      </w:r>
    </w:p>
    <w:p>
      <w:pPr>
        <w:pStyle w:val="Normal"/>
        <w:ind w:start="360" w:end="0"/>
        <w:jc w:val="both"/>
        <w:rPr/>
      </w:pPr>
      <w:r>
        <w:rPr/>
      </w:r>
    </w:p>
    <w:p>
      <w:pPr>
        <w:pStyle w:val="Normal"/>
        <w:numPr>
          <w:ilvl w:val="1"/>
          <w:numId w:val="2"/>
        </w:numPr>
        <w:jc w:val="both"/>
        <w:rPr/>
      </w:pPr>
      <w:r>
        <w:rPr/>
        <w:t>the monthly AFUDC accruals for the length of the project; and,</w:t>
      </w:r>
    </w:p>
    <w:p>
      <w:pPr>
        <w:pStyle w:val="Normal"/>
        <w:ind w:start="1080" w:end="0"/>
        <w:jc w:val="both"/>
        <w:rPr/>
      </w:pPr>
      <w:r>
        <w:rPr/>
      </w:r>
    </w:p>
    <w:p>
      <w:pPr>
        <w:pStyle w:val="Normal"/>
        <w:numPr>
          <w:ilvl w:val="1"/>
          <w:numId w:val="2"/>
        </w:numPr>
        <w:jc w:val="both"/>
        <w:rPr/>
      </w:pPr>
      <w:r>
        <w:rPr/>
        <w:t>how the monthly AFUDC rates were derived by capital cost component.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810" w:end="0"/>
        <w:jc w:val="both"/>
        <w:rPr/>
      </w:pPr>
      <w:r>
        <w:rPr/>
      </w:r>
    </w:p>
    <w:p>
      <w:pPr>
        <w:pStyle w:val="Heading2"/>
        <w:ind w:hanging="0" w:start="0"/>
        <w:rPr/>
      </w:pPr>
      <w:r>
        <w:rPr/>
        <w:t>Response provided by:</w:t>
        <w:tab/>
        <w:t>Mike Smith, Director of Estimating                      (713) 646-7901</w:t>
        <w:tab/>
        <w:tab/>
      </w:r>
    </w:p>
    <w:p>
      <w:pPr>
        <w:pStyle w:val="Heading2"/>
        <w:ind w:hanging="0" w:start="0"/>
        <w:rPr/>
      </w:pPr>
      <w:r>
        <w:rPr/>
        <w:t xml:space="preserve">                                                               </w:t>
      </w:r>
      <w:r>
        <w:rPr/>
        <w:t xml:space="preserve">or </w:t>
      </w:r>
    </w:p>
    <w:p>
      <w:pPr>
        <w:pStyle w:val="Heading2"/>
        <w:ind w:hanging="0" w:start="0"/>
        <w:rPr/>
      </w:pPr>
      <w:r>
        <w:rPr/>
        <w:t xml:space="preserve">                                           </w:t>
      </w:r>
      <w:r>
        <w:rPr/>
        <w:t>Dave Rosenburg, Spec. Gas Economic                  (713) 853-5644</w:t>
      </w:r>
    </w:p>
    <w:p>
      <w:pPr>
        <w:pStyle w:val="Heading2"/>
        <w:ind w:hanging="0" w:start="0"/>
        <w:rPr/>
      </w:pPr>
      <w:r>
        <w:rPr/>
      </w:r>
    </w:p>
    <w:p>
      <w:pPr>
        <w:pStyle w:val="Normal"/>
        <w:rPr/>
      </w:pPr>
      <w:r>
        <w:rPr/>
      </w:r>
    </w:p>
    <w:p>
      <w:pPr>
        <w:pStyle w:val="Normal"/>
        <w:rPr/>
      </w:pPr>
      <w:r>
        <w:rPr/>
      </w:r>
    </w:p>
    <w:p>
      <w:pPr>
        <w:pStyle w:val="Normal"/>
        <w:rPr/>
      </w:pPr>
      <w:r>
        <w:rPr/>
      </w:r>
      <w:r>
        <w:br w:type="page"/>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Heading1"/>
        <w:ind w:hanging="0" w:start="0"/>
        <w:rPr/>
      </w:pPr>
      <w:r>
        <w:rPr/>
        <w:t>Escalation</w:t>
      </w:r>
    </w:p>
    <w:p>
      <w:pPr>
        <w:pStyle w:val="Normal"/>
        <w:ind w:hanging="1440" w:start="1440" w:end="0"/>
        <w:rPr>
          <w:sz w:val="24"/>
        </w:rPr>
      </w:pPr>
      <w:r>
        <w:rPr>
          <w:sz w:val="24"/>
        </w:rPr>
      </w:r>
    </w:p>
    <w:p>
      <w:pPr>
        <w:pStyle w:val="Normal"/>
        <w:numPr>
          <w:ilvl w:val="0"/>
          <w:numId w:val="5"/>
        </w:numPr>
        <w:jc w:val="both"/>
        <w:rPr/>
      </w:pPr>
      <w:r>
        <w:rPr/>
        <w:t>In Exhibit K, page 1 of 6, Escalation, FGT states costs were estimated in year-end 2001 dollars and escalated to the year appropriate.</w:t>
      </w:r>
    </w:p>
    <w:p>
      <w:pPr>
        <w:pStyle w:val="Normal"/>
        <w:jc w:val="both"/>
        <w:rPr/>
      </w:pPr>
      <w:r>
        <w:rPr/>
      </w:r>
    </w:p>
    <w:p>
      <w:pPr>
        <w:pStyle w:val="Normal"/>
        <w:numPr>
          <w:ilvl w:val="1"/>
          <w:numId w:val="5"/>
        </w:numPr>
        <w:jc w:val="both"/>
        <w:rPr/>
      </w:pPr>
      <w:r>
        <w:rPr/>
        <w:t>Please explain how and what percentages were used to escalate the amounts,</w:t>
      </w:r>
    </w:p>
    <w:p>
      <w:pPr>
        <w:pStyle w:val="Normal"/>
        <w:ind w:start="1080" w:end="0"/>
        <w:jc w:val="both"/>
        <w:rPr/>
      </w:pPr>
      <w:r>
        <w:rPr/>
      </w:r>
    </w:p>
    <w:p>
      <w:pPr>
        <w:pStyle w:val="Normal"/>
        <w:numPr>
          <w:ilvl w:val="1"/>
          <w:numId w:val="5"/>
        </w:numPr>
        <w:jc w:val="both"/>
        <w:rPr/>
      </w:pPr>
      <w:r>
        <w:rPr/>
        <w:t>What components did FGT include in the escalation?</w:t>
      </w:r>
    </w:p>
    <w:p>
      <w:pPr>
        <w:pStyle w:val="Normal"/>
        <w:jc w:val="both"/>
        <w:rPr/>
      </w:pPr>
      <w:r>
        <w:rPr/>
      </w:r>
    </w:p>
    <w:p>
      <w:pPr>
        <w:pStyle w:val="Normal"/>
        <w:numPr>
          <w:ilvl w:val="1"/>
          <w:numId w:val="5"/>
        </w:numPr>
        <w:jc w:val="both"/>
        <w:rPr/>
      </w:pPr>
      <w:r>
        <w:rPr/>
        <w:t>Please explain why FGT is escalating costs?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810" w:end="0"/>
        <w:jc w:val="both"/>
        <w:rPr/>
      </w:pPr>
      <w:r>
        <w:rPr/>
      </w:r>
    </w:p>
    <w:p>
      <w:pPr>
        <w:pStyle w:val="Heading2"/>
        <w:ind w:hanging="0" w:start="0"/>
        <w:rPr/>
      </w:pPr>
      <w:r>
        <w:rPr/>
        <w:t>Response provided by:</w:t>
        <w:tab/>
        <w:t>Mike Smith, Director of Estimating                      (713) 646-7901</w:t>
        <w:tab/>
        <w:tab/>
      </w:r>
    </w:p>
    <w:p>
      <w:pPr>
        <w:pStyle w:val="Heading2"/>
        <w:ind w:hanging="0" w:start="0"/>
        <w:rPr/>
      </w:pPr>
      <w:r>
        <w:rPr/>
        <w:t xml:space="preserve">                                                               </w:t>
      </w:r>
      <w:r>
        <w:rPr/>
        <w:t xml:space="preserve">or </w:t>
      </w:r>
    </w:p>
    <w:p>
      <w:pPr>
        <w:pStyle w:val="Heading2"/>
        <w:ind w:hanging="0" w:start="0"/>
        <w:rPr/>
      </w:pPr>
      <w:r>
        <w:rPr/>
        <w:t xml:space="preserve">                                           </w:t>
      </w:r>
      <w:r>
        <w:rPr/>
        <w:t>Dave Rosenburg, Spec. Gas Economic                  (713) 853-5644</w:t>
      </w:r>
    </w:p>
    <w:p>
      <w:pPr>
        <w:pStyle w:val="Normal"/>
        <w:rPr/>
      </w:pPr>
      <w:r>
        <w:rPr/>
      </w:r>
    </w:p>
    <w:p>
      <w:pPr>
        <w:pStyle w:val="Normal"/>
        <w:rPr/>
      </w:pPr>
      <w:r>
        <w:rPr/>
      </w:r>
    </w:p>
    <w:p>
      <w:pPr>
        <w:pStyle w:val="Normal"/>
        <w:rPr/>
      </w:pPr>
      <w:r>
        <w:rPr/>
      </w:r>
    </w:p>
    <w:p>
      <w:pPr>
        <w:pStyle w:val="Normal"/>
        <w:rPr/>
      </w:pPr>
      <w:r>
        <w:rPr/>
        <w:t xml:space="preserve"> </w:t>
      </w:r>
      <w:r>
        <w:br w:type="page"/>
      </w:r>
    </w:p>
    <w:p>
      <w:pPr>
        <w:pStyle w:val="Normal"/>
        <w:rPr/>
      </w:pPr>
      <w:r>
        <w:rPr/>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Heading1"/>
        <w:ind w:hanging="0" w:start="0"/>
        <w:rPr/>
      </w:pPr>
      <w:r>
        <w:rPr/>
        <w:t>Cost of Removal</w:t>
      </w:r>
    </w:p>
    <w:p>
      <w:pPr>
        <w:pStyle w:val="Normal"/>
        <w:ind w:hanging="1440" w:start="1440" w:end="0"/>
        <w:rPr>
          <w:sz w:val="24"/>
        </w:rPr>
      </w:pPr>
      <w:r>
        <w:rPr>
          <w:sz w:val="24"/>
        </w:rPr>
      </w:r>
    </w:p>
    <w:p>
      <w:pPr>
        <w:pStyle w:val="Normal"/>
        <w:numPr>
          <w:ilvl w:val="0"/>
          <w:numId w:val="4"/>
        </w:numPr>
        <w:jc w:val="both"/>
        <w:rPr/>
      </w:pPr>
      <w:r>
        <w:rPr/>
        <w:t>FGT states on page six of its application – Construction of the Loop C for the entire 3.1 inch (mile) pipe will coincide with the removal of 3.1 miles of FGT’s 24-inch pipe previously abandoned-in-place.</w:t>
      </w:r>
    </w:p>
    <w:p>
      <w:pPr>
        <w:pStyle w:val="Normal"/>
        <w:jc w:val="both"/>
        <w:rPr/>
      </w:pPr>
      <w:r>
        <w:rPr/>
      </w:r>
    </w:p>
    <w:p>
      <w:pPr>
        <w:pStyle w:val="Normal"/>
        <w:ind w:start="1080" w:end="0"/>
        <w:jc w:val="both"/>
        <w:rPr/>
      </w:pPr>
      <w:r>
        <w:rPr/>
        <w:t>Please provide a copy of the order page in which the Commission approved the abandonment in place (i.e. Docket No. CP92-182; 62 FERC ¶ 61,142) and the journal entries showing the accounting for this abandonment in place.</w:t>
      </w:r>
    </w:p>
    <w:p>
      <w:pPr>
        <w:pStyle w:val="Normal"/>
        <w:ind w:start="180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810" w:end="0"/>
        <w:jc w:val="both"/>
        <w:rPr/>
      </w:pPr>
      <w:r>
        <w:rPr/>
      </w:r>
    </w:p>
    <w:p>
      <w:pPr>
        <w:pStyle w:val="Heading2"/>
        <w:ind w:hanging="0" w:start="0"/>
        <w:rPr/>
      </w:pPr>
      <w:r>
        <w:rPr/>
        <w:t>Response provided by:</w:t>
        <w:tab/>
        <w:t>Stephen Veatch, Director of Certificates</w:t>
      </w:r>
    </w:p>
    <w:p>
      <w:pPr>
        <w:pStyle w:val="Normal"/>
        <w:rPr/>
      </w:pPr>
      <w:r>
        <w:rPr/>
        <w:t xml:space="preserve">                                               </w:t>
      </w:r>
      <w:r>
        <w:rPr>
          <w:b/>
          <w:bCs/>
        </w:rPr>
        <w:t>&amp; Regulatory Reporting                                     (713)853-6549</w:t>
      </w:r>
      <w:r>
        <w:br w:type="page"/>
      </w:r>
    </w:p>
    <w:p>
      <w:pPr>
        <w:pStyle w:val="Normal"/>
        <w:rPr>
          <w:b/>
          <w:bCs/>
        </w:rPr>
      </w:pPr>
      <w:r>
        <w:rPr>
          <w:b/>
          <w:bCs/>
        </w:rPr>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Heading1"/>
        <w:ind w:hanging="0" w:start="0"/>
        <w:rPr/>
      </w:pPr>
      <w:r>
        <w:rPr/>
        <w:t>Cost of Removal</w:t>
      </w:r>
    </w:p>
    <w:p>
      <w:pPr>
        <w:pStyle w:val="Normal"/>
        <w:ind w:hanging="1440" w:start="1440" w:end="0"/>
        <w:rPr>
          <w:sz w:val="24"/>
        </w:rPr>
      </w:pPr>
      <w:r>
        <w:rPr>
          <w:sz w:val="24"/>
        </w:rPr>
      </w:r>
    </w:p>
    <w:p>
      <w:pPr>
        <w:pStyle w:val="Normal"/>
        <w:numPr>
          <w:ilvl w:val="0"/>
          <w:numId w:val="4"/>
        </w:numPr>
        <w:jc w:val="both"/>
        <w:rPr/>
      </w:pPr>
      <w:r>
        <w:rPr/>
        <w:t>Please explain what FGT means by “Construction of the Loop C for the entire 3.1 miles [of] 30-inch pipe will coincide with the removal of 3.1 miles of FGT’s 24-inch pipe previously abandoned-in-place.</w:t>
      </w:r>
    </w:p>
    <w:p>
      <w:pPr>
        <w:pStyle w:val="Normal"/>
        <w:jc w:val="both"/>
        <w:rPr/>
      </w:pPr>
      <w:r>
        <w:rPr/>
      </w:r>
    </w:p>
    <w:p>
      <w:pPr>
        <w:pStyle w:val="Normal"/>
        <w:ind w:hanging="288" w:start="1728" w:end="0"/>
        <w:jc w:val="both"/>
        <w:rPr/>
      </w:pPr>
      <w:r>
        <w:rPr/>
        <w:t>a.  Did FGT include he cost of removal in the depreciation amounts within this CP02-27-000 Application for Loop C?   Please explain.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810" w:end="0"/>
        <w:jc w:val="both"/>
        <w:rPr/>
      </w:pPr>
      <w:r>
        <w:rPr/>
      </w:r>
    </w:p>
    <w:p>
      <w:pPr>
        <w:pStyle w:val="Heading2"/>
        <w:ind w:hanging="0" w:start="0"/>
        <w:rPr/>
      </w:pPr>
      <w:r>
        <w:rPr/>
        <w:t>Response provided by:</w:t>
        <w:tab/>
        <w:t>Jon Lohmann, Project Engineering Manager          (713) 646-7049</w:t>
      </w:r>
    </w:p>
    <w:p>
      <w:pPr>
        <w:pStyle w:val="Normal"/>
        <w:rPr/>
      </w:pPr>
      <w:r>
        <w:rPr/>
      </w:r>
      <w:r>
        <w:br w:type="page"/>
      </w:r>
    </w:p>
    <w:p>
      <w:pPr>
        <w:pStyle w:val="Heading"/>
        <w:rPr/>
      </w:pPr>
      <w:r>
        <w:rPr/>
        <w:t>FLORIDA GAS TRANSMISSION COMPANY</w:t>
      </w:r>
    </w:p>
    <w:p>
      <w:pPr>
        <w:pStyle w:val="Normal"/>
        <w:jc w:val="center"/>
        <w:rPr>
          <w:b/>
          <w:spacing w:val="-3"/>
          <w:sz w:val="22"/>
        </w:rPr>
      </w:pPr>
      <w:r>
        <w:rPr>
          <w:b/>
          <w:spacing w:val="-3"/>
          <w:sz w:val="22"/>
        </w:rPr>
        <w:t>JANUARY 28, 2002 RESPONSE TO</w:t>
      </w:r>
    </w:p>
    <w:p>
      <w:pPr>
        <w:pStyle w:val="Header"/>
        <w:jc w:val="center"/>
        <w:rPr>
          <w:sz w:val="22"/>
        </w:rPr>
      </w:pPr>
      <w:r>
        <w:rPr>
          <w:b/>
          <w:spacing w:val="-3"/>
          <w:sz w:val="22"/>
        </w:rPr>
        <w:t>FEDER</w:t>
      </w:r>
      <w:r>
        <w:rPr>
          <w:b/>
          <w:sz w:val="22"/>
        </w:rPr>
        <w:t>AL ENERGY REGULATORY COMMISSION</w:t>
      </w:r>
    </w:p>
    <w:p>
      <w:pPr>
        <w:pStyle w:val="Normal"/>
        <w:jc w:val="center"/>
        <w:rPr>
          <w:sz w:val="22"/>
        </w:rPr>
      </w:pPr>
      <w:r>
        <w:rPr>
          <w:b/>
          <w:sz w:val="22"/>
        </w:rPr>
        <w:t>DATA REQUEST DATED January 11, 2002 (OEP/DPC/CGI)</w:t>
      </w:r>
    </w:p>
    <w:p>
      <w:pPr>
        <w:pStyle w:val="Normal"/>
        <w:jc w:val="center"/>
        <w:rPr>
          <w:sz w:val="22"/>
        </w:rPr>
      </w:pPr>
      <w:r>
        <w:rPr>
          <w:b/>
          <w:sz w:val="22"/>
        </w:rPr>
        <w:t>Docket No. CP02-27-000</w:t>
      </w:r>
    </w:p>
    <w:p>
      <w:pPr>
        <w:pStyle w:val="Normal"/>
        <w:rPr>
          <w:sz w:val="22"/>
        </w:rPr>
      </w:pPr>
      <w:r>
        <w:rPr>
          <w:sz w:val="22"/>
        </w:rPr>
      </w:r>
    </w:p>
    <w:p>
      <w:pPr>
        <w:pStyle w:val="Normal"/>
        <w:rPr/>
      </w:pPr>
      <w:r>
        <w:rPr/>
      </w:r>
    </w:p>
    <w:p>
      <w:pPr>
        <w:pStyle w:val="Heading1"/>
        <w:ind w:hanging="0" w:start="0"/>
        <w:rPr/>
      </w:pPr>
      <w:r>
        <w:rPr/>
        <w:t>General</w:t>
      </w:r>
    </w:p>
    <w:p>
      <w:pPr>
        <w:pStyle w:val="Normal"/>
        <w:ind w:hanging="1440" w:start="1440" w:end="0"/>
        <w:rPr>
          <w:sz w:val="24"/>
        </w:rPr>
      </w:pPr>
      <w:r>
        <w:rPr>
          <w:sz w:val="24"/>
        </w:rPr>
      </w:r>
    </w:p>
    <w:p>
      <w:pPr>
        <w:pStyle w:val="Normal"/>
        <w:ind w:hanging="720" w:start="720" w:end="0"/>
        <w:jc w:val="both"/>
        <w:rPr/>
      </w:pPr>
      <w:r>
        <w:rPr/>
        <w:t>1.</w:t>
        <w:tab/>
        <w:t>Please explain what affect, if any, Enron’s bankruptcy filing has on FGT current debt borrowings relating to this project.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start="810" w:end="0"/>
        <w:jc w:val="both"/>
        <w:rPr/>
      </w:pPr>
      <w:r>
        <w:rPr/>
      </w:r>
    </w:p>
    <w:p>
      <w:pPr>
        <w:pStyle w:val="Heading2"/>
        <w:ind w:hanging="0" w:start="0"/>
        <w:rPr/>
      </w:pPr>
      <w:r>
        <w:rPr/>
        <w:t>Response provided by:</w:t>
        <w:tab/>
        <w:t>John Keiser, Director of Finance &amp; Planning    (713) 853-3138</w:t>
      </w:r>
    </w:p>
    <w:p>
      <w:pPr>
        <w:pStyle w:val="Heading2"/>
        <w:ind w:hanging="0" w:start="0"/>
        <w:rPr/>
      </w:pPr>
      <w:r>
        <w:rPr/>
        <w:t xml:space="preserve"> </w:t>
      </w:r>
    </w:p>
    <w:p>
      <w:pPr>
        <w:pStyle w:val="Normal"/>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BFBFB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BFBFB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40"/>
        </w:rPr>
      </w:pPr>
      <w:r>
        <w:rPr>
          <w:rFonts w:cs="Century Schoolbook" w:ascii="Century Schoolbook" w:hAnsi="Century Schoolbook"/>
          <w:b/>
          <w:spacing w:val="100"/>
          <w:sz w:val="40"/>
        </w:rPr>
        <w:t>VERIFICATION</w:t>
      </w:r>
    </w:p>
    <w:p>
      <w:pPr>
        <w:pStyle w:val="Normal"/>
        <w:pBdr>
          <w:top w:val="single" w:sz="6" w:space="1" w:color="000000" w:shadow="1"/>
          <w:left w:val="single" w:sz="6" w:space="1" w:color="000000" w:shadow="1"/>
          <w:bottom w:val="single" w:sz="6" w:space="1" w:color="000000" w:shadow="1"/>
          <w:right w:val="single" w:sz="6" w:space="1" w:color="000000" w:shadow="1"/>
        </w:pBdr>
        <w:shd w:fill="BFBFBF" w:val="clea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b/>
          <w:spacing w:val="100"/>
          <w:sz w:val="22"/>
        </w:rPr>
      </w:pPr>
      <w:r>
        <w:rPr>
          <w:rFonts w:cs="Century Schoolbook" w:ascii="Century Schoolbook" w:hAnsi="Century Schoolbook"/>
          <w:b/>
          <w:spacing w:val="1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b/>
          <w:sz w:val="22"/>
        </w:rPr>
      </w:pPr>
      <w:r>
        <w:rPr>
          <w:rFonts w:cs="Century Schoolbook" w:ascii="Century Schoolbook" w:hAnsi="Century Schoolbook"/>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b/>
          <w:sz w:val="22"/>
        </w:rPr>
      </w:pPr>
      <w:r>
        <w:rPr>
          <w:rFonts w:cs="Century Schoolbook" w:ascii="Century Schoolbook" w:hAnsi="Century Schoolbook"/>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b/>
          <w:sz w:val="22"/>
        </w:rPr>
      </w:pPr>
      <w:r>
        <w:rPr>
          <w:rFonts w:cs="Century Schoolbook" w:ascii="Century Schoolbook" w:hAnsi="Century Schoolbook"/>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Century Schoolbook" w:ascii="Century Schoolbook" w:hAnsi="Century Schoolbook"/>
          <w:sz w:val="22"/>
        </w:rPr>
        <w:tab/>
        <w:t xml:space="preserve">I, </w:t>
      </w:r>
      <w:r>
        <w:rPr>
          <w:rFonts w:cs="Century Schoolbook" w:ascii="Century Schoolbook" w:hAnsi="Century Schoolbook"/>
          <w:b/>
          <w:sz w:val="22"/>
        </w:rPr>
        <w:t>Stephen T. Veatch</w:t>
      </w:r>
      <w:r>
        <w:rPr>
          <w:rFonts w:cs="Century Schoolbook" w:ascii="Century Schoolbook" w:hAnsi="Century Schoolbook"/>
          <w:sz w:val="22"/>
        </w:rPr>
        <w:t>, Director of Certificates and Regulatory Reporting for Florida Gas Transmission Company (FGT), hereby certify in accordance with 18 CFR § 385.2005(a) that I have read the foregoing document and know its contents; that the contents are true as stated to the best of my knowledge and belief; and that I possess full power and authority to sign the document on behalf of FGT.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Century Schoolbook" w:ascii="Century Schoolbook" w:hAnsi="Century Schoolbook"/>
          <w:sz w:val="22"/>
        </w:rPr>
        <w:tab/>
      </w:r>
      <w:r>
        <w:rPr>
          <w:rFonts w:cs="Century Schoolbook" w:ascii="Century Schoolbook" w:hAnsi="Century Schoolbook"/>
          <w:sz w:val="22"/>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Century Schoolbook" w:ascii="Century Schoolbook" w:hAnsi="Century Schoolbook"/>
          <w:sz w:val="22"/>
        </w:rPr>
        <w:tab/>
        <w:tab/>
        <w:tab/>
        <w:tab/>
        <w:tab/>
        <w:tab/>
      </w:r>
      <w:r>
        <w:rPr>
          <w:rFonts w:cs="Century Schoolbook" w:ascii="Century Schoolbook" w:hAnsi="Century Schoolbook"/>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b/>
          <w:sz w:val="22"/>
        </w:rPr>
      </w:pPr>
      <w:r>
        <w:rPr>
          <w:rFonts w:cs="Century Schoolbook" w:ascii="Century Schoolbook" w:hAnsi="Century Schoolbook"/>
          <w:b/>
          <w:sz w:val="22"/>
        </w:rPr>
        <w:tab/>
        <w:tab/>
        <w:tab/>
        <w:tab/>
        <w:tab/>
        <w:tab/>
        <w:t>Stephen T. Veatch, Director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sz w:val="22"/>
        </w:rPr>
      </w:pPr>
      <w:r>
        <w:rPr>
          <w:rFonts w:cs="Century Schoolbook" w:ascii="Century Schoolbook" w:hAnsi="Century Schoolbook"/>
          <w:sz w:val="22"/>
        </w:rPr>
        <w:tab/>
        <w:tab/>
        <w:tab/>
        <w:tab/>
        <w:tab/>
        <w:tab/>
        <w:t xml:space="preserve">    Certificate and Regulatory  Reporting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1520" w:leader="none"/>
        </w:tabs>
        <w:rPr>
          <w:rFonts w:ascii="Century Schoolbook" w:hAnsi="Century Schoolbook" w:cs="Century Schoolbook"/>
          <w:sz w:val="22"/>
        </w:rPr>
      </w:pPr>
      <w:r>
        <w:rPr>
          <w:rFonts w:cs="Century Schoolbook" w:ascii="Century Schoolbook" w:hAnsi="Century Schoolbook"/>
          <w:sz w:val="22"/>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1520" w:leader="none"/>
        </w:tabs>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sz w:val="22"/>
        </w:rPr>
      </w:pPr>
      <w:r>
        <w:rPr>
          <w:rFonts w:cs="Century Schoolbook" w:ascii="Century Schoolbook" w:hAnsi="Century Schoolbook"/>
          <w:sz w:val="22"/>
        </w:rPr>
        <w:t>STATE OF TEXAS</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sz w:val="22"/>
        </w:rPr>
      </w:pPr>
      <w:r>
        <w:rPr>
          <w:rFonts w:cs="Century Schoolbook" w:ascii="Century Schoolbook" w:hAnsi="Century Schoolbook"/>
          <w:sz w:val="22"/>
        </w:rPr>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Century Schoolbook" w:hAnsi="Century Schoolbook" w:cs="Century Schoolbook"/>
          <w:sz w:val="22"/>
        </w:rPr>
      </w:pPr>
      <w:r>
        <w:rPr>
          <w:rFonts w:cs="Century Schoolbook" w:ascii="Century Schoolbook" w:hAnsi="Century Schoolbook"/>
          <w:sz w:val="22"/>
        </w:rPr>
        <w:t>COUNTY OF HARRIS</w:t>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Century Schoolbook" w:ascii="Century Schoolbook" w:hAnsi="Century Schoolbook"/>
          <w:sz w:val="22"/>
        </w:rPr>
        <w:tab/>
      </w:r>
      <w:r>
        <w:rPr>
          <w:rFonts w:cs="Century Schoolbook" w:ascii="Century Schoolbook" w:hAnsi="Century Schoolbook"/>
          <w:b/>
          <w:sz w:val="22"/>
        </w:rPr>
        <w:t>BEFORE ME</w:t>
      </w:r>
      <w:r>
        <w:rPr>
          <w:rFonts w:cs="Century Schoolbook" w:ascii="Century Schoolbook" w:hAnsi="Century Schoolbook"/>
          <w:sz w:val="22"/>
        </w:rPr>
        <w:t>, the undersigned authority, personally appeared Stephen T. Veatch, known to me to be the person whose name is subscribed above and the Director of Certificates and Regulatory Reporting for Florida Gas Transmission Company, and who acknowledged to me that he executed same for the purposes therein expressed.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tab/>
        <w:t>SUBSCRIBED AND SWORN TO BEFORE ME this 25th day of January 2002.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Century Schoolbook" w:ascii="Century Schoolbook" w:hAnsi="Century Schoolbook"/>
          <w:sz w:val="22"/>
        </w:rPr>
        <w:tab/>
        <w:tab/>
        <w:tab/>
        <w:tab/>
        <w:tab/>
        <w:tab/>
        <w:tab/>
      </w:r>
      <w:r>
        <w:rPr>
          <w:rFonts w:cs="Century Schoolbook" w:ascii="Century Schoolbook" w:hAnsi="Century Schoolbook"/>
          <w:sz w:val="22"/>
          <w:u w:val="single"/>
        </w:rPr>
        <w:t xml:space="preserve">     </w:t>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tab/>
        <w:tab/>
        <w:tab/>
        <w:tab/>
        <w:tab/>
        <w:tab/>
        <w:tab/>
        <w:t>Notary Public in and for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tab/>
        <w:tab/>
        <w:tab/>
        <w:tab/>
        <w:tab/>
        <w:tab/>
        <w:tab/>
        <w:t>Harris County, Texas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t xml:space="preserve">My Commission expires:  </w:t>
      </w:r>
      <w:r>
        <w:rPr>
          <w:rFonts w:cs="Century Schoolbook" w:ascii="Century Schoolbook" w:hAnsi="Century Schoolbook"/>
          <w:sz w:val="22"/>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entury Schoolbook" w:hAnsi="Century Schoolbook" w:cs="Century Schoolbook"/>
          <w:sz w:val="22"/>
        </w:rPr>
      </w:pPr>
      <w:r>
        <w:rPr>
          <w:rFonts w:cs="Century Schoolbook" w:ascii="Century Schoolbook" w:hAnsi="Century Schoolbook"/>
          <w:sz w:val="22"/>
        </w:rPr>
      </w:r>
      <w:r>
        <w:br w:type="page"/>
      </w:r>
    </w:p>
    <w:p>
      <w:pPr>
        <w:pStyle w:val="Normal"/>
        <w:jc w:val="center"/>
        <w:rPr>
          <w:sz w:val="24"/>
        </w:rPr>
      </w:pPr>
      <w:r>
        <w:rPr>
          <w:b/>
          <w:sz w:val="24"/>
          <w:u w:val="single"/>
        </w:rPr>
        <w:t>CERTIFICATE OF SERVICE</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ind w:firstLine="720" w:start="720" w:end="0"/>
        <w:rPr/>
      </w:pPr>
      <w:r>
        <w:rPr>
          <w:sz w:val="22"/>
        </w:rPr>
        <w:t>I hereby certify that I have served copies of FGT’s Response to the Commission’s Data Request dated February 3, 2000 in Docket No. CP00-40 by first class mail, postage prepaid, to each person whose name appears on the official service list for this proceeding in accordance with Rule 2010 of the Commission Rules of Practice and Procedure on this the 25</w:t>
      </w:r>
      <w:r>
        <w:rPr>
          <w:sz w:val="22"/>
          <w:vertAlign w:val="superscript"/>
        </w:rPr>
        <w:t>th</w:t>
      </w:r>
      <w:r>
        <w:rPr>
          <w:sz w:val="22"/>
        </w:rPr>
        <w:t xml:space="preserve"> day of January 2002.</w:t>
      </w:r>
    </w:p>
    <w:p>
      <w:pPr>
        <w:pStyle w:val="BodyText"/>
        <w:ind w:firstLine="720" w:start="720" w:end="0"/>
        <w:rPr>
          <w:sz w:val="22"/>
        </w:rPr>
      </w:pPr>
      <w:r>
        <w:rPr>
          <w:sz w:val="22"/>
        </w:rPr>
      </w:r>
    </w:p>
    <w:p>
      <w:pPr>
        <w:pStyle w:val="BodyText"/>
        <w:ind w:firstLine="720" w:start="720" w:end="0"/>
        <w:rPr>
          <w:sz w:val="22"/>
        </w:rPr>
      </w:pPr>
      <w:r>
        <w:rPr>
          <w:sz w:val="22"/>
        </w:rPr>
      </w:r>
    </w:p>
    <w:p>
      <w:pPr>
        <w:pStyle w:val="BodyText"/>
        <w:ind w:firstLine="720" w:start="720" w:end="0"/>
        <w:rPr>
          <w:sz w:val="22"/>
        </w:rPr>
      </w:pPr>
      <w:r>
        <w:rPr>
          <w:sz w:val="22"/>
        </w:rPr>
      </w:r>
    </w:p>
    <w:p>
      <w:pPr>
        <w:pStyle w:val="BodyText"/>
        <w:ind w:firstLine="720" w:start="720" w:end="0"/>
        <w:rPr>
          <w:sz w:val="22"/>
        </w:rPr>
      </w:pPr>
      <w:r>
        <w:rPr>
          <w:sz w:val="22"/>
        </w:rPr>
      </w:r>
    </w:p>
    <w:p>
      <w:pPr>
        <w:pStyle w:val="BodyText"/>
        <w:ind w:firstLine="720" w:start="720" w:end="0"/>
        <w:rPr>
          <w:sz w:val="22"/>
        </w:rPr>
      </w:pPr>
      <w:r>
        <w:rPr>
          <w:sz w:val="22"/>
        </w:rPr>
        <w:tab/>
        <w:tab/>
        <w:tab/>
        <w:tab/>
        <w:tab/>
        <w:t>________________________________</w:t>
      </w:r>
    </w:p>
    <w:p>
      <w:pPr>
        <w:pStyle w:val="BodyText"/>
        <w:ind w:firstLine="720" w:start="720" w:end="0"/>
        <w:rPr>
          <w:sz w:val="22"/>
        </w:rPr>
      </w:pPr>
      <w:r>
        <w:rPr>
          <w:sz w:val="22"/>
        </w:rPr>
        <w:tab/>
        <w:tab/>
        <w:tab/>
        <w:tab/>
        <w:tab/>
        <w:t>Stephen T. Veatch, Director</w:t>
      </w:r>
    </w:p>
    <w:p>
      <w:pPr>
        <w:pStyle w:val="BodyText"/>
        <w:ind w:firstLine="720" w:start="720" w:end="0"/>
        <w:rPr>
          <w:sz w:val="22"/>
        </w:rPr>
      </w:pPr>
      <w:r>
        <w:rPr>
          <w:sz w:val="22"/>
        </w:rPr>
        <w:tab/>
        <w:tab/>
        <w:tab/>
        <w:tab/>
        <w:tab/>
        <w:t>Certificates and Regulatory Reporting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pacing w:val="-3"/>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color w:val="000080"/>
      <w:sz w:val="24"/>
    </w:rPr>
  </w:style>
  <w:style w:type="paragraph" w:styleId="BodyTextIndent">
    <w:name w:val="Body Text Indent"/>
    <w:basedOn w:val="Normal"/>
    <w:pPr>
      <w:ind w:hanging="810" w:start="810" w:end="0"/>
    </w:pPr>
    <w:rPr/>
  </w:style>
  <w:style w:type="paragraph" w:styleId="BodyText2">
    <w:name w:val="Body Text 2"/>
    <w:basedOn w:val="Normal"/>
    <w:qFormat/>
    <w:pPr>
      <w:ind w:hanging="0" w:start="720" w:end="0"/>
      <w:jc w:val="both"/>
    </w:pPr>
    <w:rPr>
      <w:rFonts w:ascii="Century Schoolbook" w:hAnsi="Century Schoolbook" w:cs="Century Schoolbook"/>
      <w:sz w:val="24"/>
    </w:rPr>
  </w:style>
  <w:style w:type="paragraph" w:styleId="BodyTextIndent2">
    <w:name w:val="Body Text Indent 2"/>
    <w:basedOn w:val="Normal"/>
    <w:qFormat/>
    <w:pPr>
      <w:ind w:hanging="0" w:start="720" w:end="0"/>
    </w:pPr>
    <w:rPr>
      <w:rFonts w:ascii="Century Schoolbook" w:hAnsi="Century Schoolbook" w:cs="Century Schoolbook"/>
      <w:sz w:val="24"/>
    </w:rPr>
  </w:style>
  <w:style w:type="paragraph" w:styleId="BodyText3">
    <w:name w:val="Body Text 3"/>
    <w:basedOn w:val="Normal"/>
    <w:qFormat/>
    <w:pPr/>
    <w:rPr>
      <w:color w:val="FF0000"/>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2002-01-14T10:24:00Z</dcterms:created>
  <dc:creator>cculwel</dc:creator>
  <dc:description/>
  <dc:language>en-CA</dc:language>
  <cp:lastModifiedBy>cculwel</cp:lastModifiedBy>
  <cp:lastPrinted>2002-01-14T08:51:00Z</cp:lastPrinted>
  <dcterms:modified xsi:type="dcterms:W3CDTF">2002-01-14T18:10:00Z</dcterms:modified>
  <cp:revision>6</cp:revision>
  <dc:subject/>
  <dc:title>FLORIDA GAS TRANSMISSION COMPANY</dc:title>
</cp:coreProperties>
</file>