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end="684"/>
        <w:rPr/>
      </w:pPr>
      <w:r>
        <w:rPr/>
      </w:r>
    </w:p>
    <w:tbl>
      <w:tblPr>
        <w:tblW w:w="14130" w:type="dxa"/>
        <w:jc w:val="start"/>
        <w:tblInd w:w="-240" w:type="dxa"/>
        <w:tblLayout w:type="fixed"/>
        <w:tblCellMar>
          <w:top w:w="0" w:type="dxa"/>
          <w:start w:w="120" w:type="dxa"/>
          <w:bottom w:w="0" w:type="dxa"/>
          <w:end w:w="120" w:type="dxa"/>
        </w:tblCellMar>
      </w:tblPr>
      <w:tblGrid>
        <w:gridCol w:w="630"/>
        <w:gridCol w:w="5220"/>
        <w:gridCol w:w="8280"/>
      </w:tblGrid>
      <w:tr>
        <w:trPr>
          <w:tblHeader w:val="true"/>
          <w:trHeight w:val="403" w:hRule="atLeast"/>
        </w:trPr>
        <w:tc>
          <w:tcPr>
            <w:tcW w:w="63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0"/>
              </w:numPr>
              <w:ind w:hanging="0" w:start="0"/>
              <w:rPr>
                <w:b/>
                <w:sz w:val="20"/>
              </w:rPr>
            </w:pPr>
            <w:r>
              <w:rPr>
                <w:b/>
                <w:sz w:val="20"/>
              </w:rPr>
              <w:t>4.0</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Environmental Questions</w:t>
            </w:r>
          </w:p>
        </w:tc>
        <w:tc>
          <w:tcPr>
            <w:tcW w:w="828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Comments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emission profiles with and without evaporative cooling, at load ranges of 0 – 100% (in 5% increments) at ambient temperatures of –15, -5, 5, 15, 25, 35, 45, 55, 65, 75, 85, and 95 degrees F, that include the #/hr and ppmvd of NOx CO, SO2, VOC, and particulates, as adjusted for site elevation.  Emission profiles should also include output, heat rate, exhaust flow, exhaust temp.</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Please note that Appendix B-1 of the air permit application provides emission profiles for 75% and 100% load factors at 0, 27, 57, 89, and 95 degrees.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emissions compliance testing conducted in accordance with NSPS and Permit to Construct and any emissions testing to validate equipment warranties.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the Performance Test Report conducted by McHale &amp; Associates prior to commissioning the turbines has been placed in the data room. Due to economic reasons, the EPA accepted this report as conditional demonstration of compliance with NSPS Subpart GG, pending a complete NSPS compliance demonstration to be conducted by January 30, 2001 during CEMS certification.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plant monitoring data for fuel nitrogen and sulfur content.</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The plant has not sampled for fuel nitrogen and sulfur content in natural gas. The plant relied on sampling data generated by the natural gas supplier to ensure compliance with the NSPS requirements. The plant also has an approval from the EPA to conduct sulfur sampling on a semi-annual basis.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water-to-fuel ratio data during all operating hours.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by </w:t>
            </w:r>
            <w:r>
              <w:rPr>
                <w:b/>
                <w:sz w:val="20"/>
              </w:rPr>
              <w:t>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Title 5 application submitted to IDEM.</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application has not been submitted. The due date for this application is April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Phase II Acid Rain Application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this application will be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results of CEM certification.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CEMS have not been certified. The EPA has approved an extension of the deadline until January 30,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stack gas stratification issues.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While attempting to certify the CEMS on August 7, 2000 within 90 days from commencement of commercial operation, we conducted a stratification check on units 1 and 2. One probe location on the edge of the stack indicated high oxygen and low CO and NOx readings. A copy of the stratification emissions report has been placed in the data room. An investigation of the stratification problem has not yet been conducted. The EPA, however, has given an approval to delay the CEMS certification until January 30, 2001, and of a procedure to certify the CEMS despite stratification.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NOx, CO2 and CO CEM reports for all operating hours, including ppm, #/hr, #/mmBtu and cumulative TPY.</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w:t>
            </w:r>
            <w:r>
              <w:rPr>
                <w:b/>
                <w:sz w:val="20"/>
              </w:rPr>
              <w:t>by 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Standard Operating Procedures and QA/QC manual.</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w:t>
            </w:r>
            <w:r>
              <w:rPr>
                <w:b/>
                <w:sz w:val="20"/>
              </w:rPr>
              <w:t>by 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on initiation of water injection after startup (i.e. when water injection can be safely initiated).</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w:t>
            </w:r>
            <w:r>
              <w:rPr>
                <w:b/>
                <w:sz w:val="20"/>
              </w:rPr>
              <w:t>by 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Preventive Maintenance Plan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w:t>
            </w:r>
            <w:r>
              <w:rPr>
                <w:b/>
                <w:sz w:val="20"/>
              </w:rPr>
              <w:t>by 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Compliance Response Plan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w:t>
            </w:r>
            <w:r>
              <w:rPr>
                <w:b/>
                <w:sz w:val="20"/>
              </w:rPr>
              <w:t>by 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SPCC Plan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SPCC plan is still in development. The anticipated completion date is November 30, 2000</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Affidavit of Construction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by </w:t>
            </w:r>
            <w:r>
              <w:rPr>
                <w:b/>
                <w:sz w:val="20"/>
              </w:rPr>
              <w:t>Dave Kellermeyer</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Operation Permit Validation letter.</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permit application has not been submitted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revision to the Permit to Construct dated 3-13-00.</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revision was to incorporate an emergency generator into the permit.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potable water supply agreement.</w:t>
            </w:r>
          </w:p>
        </w:tc>
        <w:tc>
          <w:tcPr>
            <w:tcW w:w="8280" w:type="dxa"/>
            <w:tcBorders>
              <w:start w:val="single" w:sz="4" w:space="0" w:color="000000"/>
              <w:end w:val="single" w:sz="6" w:space="0" w:color="000000"/>
            </w:tcBorders>
            <w:vAlign w:val="center"/>
          </w:tcPr>
          <w:p>
            <w:pPr>
              <w:pStyle w:val="Heading6"/>
              <w:spacing w:before="0" w:after="58"/>
              <w:ind w:hanging="0" w:start="0"/>
              <w:rPr/>
            </w:pPr>
            <w:r>
              <w:rPr/>
              <w:t>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data on local water supplies, including well logs of local wells.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b/>
                <w:sz w:val="20"/>
              </w:rPr>
              <w:t>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Phase II environmental assessments conducted on any properties included in this transaction.</w:t>
            </w:r>
          </w:p>
        </w:tc>
        <w:tc>
          <w:tcPr>
            <w:tcW w:w="8280" w:type="dxa"/>
            <w:tcBorders>
              <w:start w:val="single" w:sz="4" w:space="0" w:color="000000"/>
              <w:end w:val="single" w:sz="6" w:space="0" w:color="000000"/>
            </w:tcBorders>
            <w:vAlign w:val="center"/>
          </w:tcPr>
          <w:p>
            <w:pPr>
              <w:pStyle w:val="Heading6"/>
              <w:spacing w:before="0" w:after="58"/>
              <w:ind w:hanging="0" w:start="0"/>
              <w:rPr>
                <w:b w:val="false"/>
              </w:rPr>
            </w:pPr>
            <w:r>
              <w:rPr>
                <w:b w:val="false"/>
              </w:rPr>
              <w:t>No Phase II assessments have been performed for any of the sites.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 on any zoning restrictions related to stack height or noise.</w:t>
            </w:r>
          </w:p>
        </w:tc>
        <w:tc>
          <w:tcPr>
            <w:tcW w:w="8280" w:type="dxa"/>
            <w:tcBorders>
              <w:start w:val="single" w:sz="4" w:space="0" w:color="000000"/>
              <w:end w:val="single" w:sz="6" w:space="0" w:color="000000"/>
            </w:tcBorders>
            <w:vAlign w:val="center"/>
          </w:tcPr>
          <w:p>
            <w:pPr>
              <w:pStyle w:val="Heading6"/>
              <w:spacing w:before="0" w:after="58"/>
              <w:ind w:hanging="0" w:start="0"/>
              <w:rPr/>
            </w:pPr>
            <w:r>
              <w:rPr/>
              <w:t>Dave, Chris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 quality analyses of water withdrawn from lake.</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by </w:t>
            </w:r>
            <w:r>
              <w:rPr>
                <w:b/>
                <w:sz w:val="20"/>
              </w:rPr>
              <w:t>Chris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water quality control procedures, including methods for pH and conductivity adjustments.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Dave, Chris, Norris Harrington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raw water filtering requirements, prior to demineralization.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Dave, Chris, Norris Harrington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custom schedule request to USEPA.</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has been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costs associated with operation and maintenance of CEMs including annual RATA testing, calibration gases, spare parts, etc.</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Clean Air Engineering is retained under contract to conduct quarterly linearity checks and annual RATA’s. A copy of this contract has been placed in the data room. There has not been enough run time to obtain an accurate cost assessment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contract with Ecolochem for demineralization of water.</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warranty agreement with CISCO.</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determination of SARA reporting requirements under 311 and 312.</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It is our assessment that we do not hold any SARA chemical in quantities greater than 10,000 lbs. SARA reporting is not required. Additionally, this plant began operation in April 2000. The first SARA report, if applicable, is not due until July 1,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need for a mercaptan  odorizing station.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hydrologic studies performed at the associated properties.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schedule of all environmental, health and safety required training and associated procedures.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An environmental compliance matrix and a calendar for this site have been placed in the data room</w:t>
            </w:r>
          </w:p>
        </w:tc>
      </w:tr>
      <w:tr>
        <w:trPr>
          <w:trHeight w:val="630"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maximum water withdrawal rates from the lake reservoir and explain any limitations.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attachments to Section 3 of the Monitoring Plan, including the natural gas sulfur content documentation and flue flow meter documentation.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Chris – please provide copies of the fuel flow meters maufacturer’s certifications and check to see if we had conducted sulfur sampling in support of the monitoring plan. </w:t>
            </w:r>
          </w:p>
          <w:p>
            <w:pPr>
              <w:pStyle w:val="Normal"/>
              <w:tabs>
                <w:tab w:val="left" w:pos="-1440" w:leader="none"/>
                <w:tab w:val="left" w:pos="-720" w:leader="none"/>
                <w:tab w:val="left" w:pos="-120" w:leader="none"/>
                <w:tab w:val="left" w:pos="720" w:leader="none"/>
              </w:tabs>
              <w:spacing w:before="0" w:after="58"/>
              <w:rPr>
                <w:sz w:val="20"/>
              </w:rPr>
            </w:pPr>
            <w:r>
              <w:rPr>
                <w:sz w:val="20"/>
              </w:rPr>
              <w:t>With the delay in CEMs certification until January 30, 2001, we have until December 15, 2000 to submit a revised monitoring plan with the appropriate attachements</w:t>
            </w:r>
          </w:p>
        </w:tc>
      </w:tr>
      <w:tr>
        <w:trPr/>
        <w:tc>
          <w:tcPr>
            <w:tcW w:w="630" w:type="dxa"/>
            <w:tcBorders>
              <w:start w:val="single" w:sz="6" w:space="0" w:color="000000"/>
              <w:bottom w:val="single" w:sz="6" w:space="0" w:color="000000"/>
              <w:end w:val="single" w:sz="6" w:space="0" w:color="000000"/>
            </w:tcBorders>
            <w:vAlign w:val="center"/>
          </w:tcPr>
          <w:p>
            <w:pPr>
              <w:pStyle w:val="QuickA"/>
              <w:numPr>
                <w:ilvl w:val="0"/>
                <w:numId w:val="0"/>
              </w:numPr>
              <w:ind w:hanging="0" w:start="0"/>
              <w:rPr>
                <w:sz w:val="20"/>
              </w:rPr>
            </w:pPr>
            <w:r>
              <w:rPr>
                <w:sz w:val="20"/>
              </w:rPr>
              <w:t>4.35</w:t>
            </w:r>
          </w:p>
        </w:tc>
        <w:tc>
          <w:tcPr>
            <w:tcW w:w="522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of the CO CEM system, including equipment and calculation method.</w:t>
            </w:r>
          </w:p>
        </w:tc>
        <w:tc>
          <w:tcPr>
            <w:tcW w:w="828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 to provide copy of the CO CEMS Quality Assurance Plan from CISCO</w:t>
            </w:r>
          </w:p>
        </w:tc>
      </w:tr>
    </w:tbl>
    <w:p>
      <w:pPr>
        <w:pStyle w:val="Header"/>
        <w:tabs>
          <w:tab w:val="clear" w:pos="4320"/>
          <w:tab w:val="clear" w:pos="8640"/>
        </w:tabs>
        <w:ind w:end="684"/>
        <w:rPr>
          <w:sz w:val="20"/>
        </w:rPr>
      </w:pPr>
      <w:r>
        <w:rPr>
          <w:sz w:val="20"/>
        </w:rPr>
      </w:r>
    </w:p>
    <w:sectPr>
      <w:headerReference w:type="default" r:id="rId2"/>
      <w:footerReference w:type="default" r:id="rId3"/>
      <w:type w:val="nextPage"/>
      <w:pgSz w:orient="landscape" w:w="15840" w:h="12240"/>
      <w:pgMar w:left="1008" w:right="1008" w:gutter="0" w:header="1440" w:top="1496"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80" w:leader="none"/>
        <w:tab w:val="right" w:pos="9360" w:leader="none"/>
      </w:tabs>
      <w:rPr>
        <w:sz w:val="20"/>
      </w:rPr>
    </w:pPr>
    <w:r>
      <w:rPr>
        <w:sz w:val="20"/>
      </w:rPr>
      <w:t>Status Legend:  A = Actual date received, P = Partial Response Received</w:t>
    </w:r>
  </w:p>
  <w:p>
    <w:pPr>
      <w:pStyle w:val="Normal"/>
      <w:tabs>
        <w:tab w:val="clear" w:pos="720"/>
        <w:tab w:val="left" w:pos="6480" w:leader="none"/>
        <w:tab w:val="right" w:pos="9360" w:leader="none"/>
      </w:tabs>
      <w:rPr>
        <w:sz w:val="20"/>
      </w:rPr>
    </w:pPr>
    <w:r>
      <w:rPr>
        <w:sz w:val="20"/>
      </w:rPr>
    </w:r>
  </w:p>
  <w:p>
    <w:pPr>
      <w:pStyle w:val="Normal"/>
      <w:tabs>
        <w:tab w:val="clear" w:pos="720"/>
        <w:tab w:val="left" w:pos="6480" w:leader="none"/>
        <w:tab w:val="right" w:pos="9360" w:leader="none"/>
      </w:tabs>
      <w:rPr>
        <w:sz w:val="20"/>
      </w:rPr>
    </w:pPr>
    <w:r>
      <w:rPr>
        <w:sz w:val="20"/>
      </w:rPr>
      <w:fldChar w:fldCharType="begin"/>
    </w:r>
    <w:r>
      <w:rPr>
        <w:sz w:val="20"/>
      </w:rPr>
      <w:instrText xml:space="preserve"> FILENAME </w:instrText>
    </w:r>
    <w:r>
      <w:rPr>
        <w:sz w:val="20"/>
      </w:rPr>
      <w:fldChar w:fldCharType="separate"/>
    </w:r>
    <w:r>
      <w:rPr>
        <w:sz w:val="20"/>
      </w:rPr>
      <w:t>DPL_Wheatland_env.doc</w:t>
    </w:r>
    <w:r>
      <w:rPr>
        <w:sz w:val="20"/>
      </w:rPr>
      <w:fldChar w:fldCharType="end"/>
    </w:r>
  </w:p>
  <w:p>
    <w:pPr>
      <w:pStyle w:val="Normal"/>
      <w:tabs>
        <w:tab w:val="clear" w:pos="720"/>
        <w:tab w:val="left" w:pos="6480" w:leader="none"/>
        <w:tab w:val="right" w:pos="9360" w:leader="none"/>
      </w:tabs>
      <w:rPr/>
    </w:pPr>
    <w:r>
      <w:rPr>
        <w:sz w:val="20"/>
      </w:rPr>
      <w:fldChar w:fldCharType="begin"/>
    </w:r>
    <w:r>
      <w:rPr>
        <w:sz w:val="20"/>
      </w:rPr>
      <w:instrText xml:space="preserve"> DATE \@"MM\/dd\/yy" </w:instrText>
    </w:r>
    <w:r>
      <w:rPr>
        <w:sz w:val="20"/>
      </w:rPr>
      <w:fldChar w:fldCharType="separate"/>
    </w:r>
    <w:r>
      <w:rPr>
        <w:sz w:val="20"/>
      </w:rPr>
      <w:t>09/28/25</w:t>
    </w:r>
    <w:r>
      <w:rPr>
        <w:sz w:val="20"/>
      </w:rPr>
      <w:fldChar w:fldCharType="end"/>
    </w:r>
    <w:r>
      <w:rPr>
        <w:sz w:val="20"/>
      </w:rPr>
      <w:tab/>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and Proprietary</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lvlText w:val="0.%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1260" w:start="9360" w:end="-990"/>
      <w:outlineLvl w:val="0"/>
    </w:pPr>
    <w:rPr>
      <w:b/>
      <w:sz w:val="20"/>
    </w:rPr>
  </w:style>
  <w:style w:type="paragraph" w:styleId="Heading2">
    <w:name w:val="heading 2"/>
    <w:basedOn w:val="Normal"/>
    <w:next w:val="Normal"/>
    <w:qFormat/>
    <w:pPr>
      <w:keepNext w:val="true"/>
      <w:numPr>
        <w:ilvl w:val="1"/>
        <w:numId w:val="1"/>
      </w:numPr>
      <w:tabs>
        <w:tab w:val="clear" w:pos="720"/>
        <w:tab w:val="center" w:pos="6480" w:leader="none"/>
      </w:tabs>
      <w:jc w:val="center"/>
      <w:outlineLvl w:val="1"/>
    </w:pPr>
    <w:rPr>
      <w:b/>
      <w:sz w:val="28"/>
    </w:rPr>
  </w:style>
  <w:style w:type="paragraph" w:styleId="Heading3">
    <w:name w:val="heading 3"/>
    <w:basedOn w:val="Normal"/>
    <w:next w:val="Normal"/>
    <w:qFormat/>
    <w:pPr>
      <w:keepNext w:val="true"/>
      <w:numPr>
        <w:ilvl w:val="2"/>
        <w:numId w:val="1"/>
      </w:numPr>
      <w:ind w:firstLine="1260" w:start="9360" w:end="0"/>
      <w:jc w:val="both"/>
      <w:outlineLvl w:val="2"/>
    </w:pPr>
    <w:rPr>
      <w:b/>
      <w:sz w:val="20"/>
    </w:rPr>
  </w:style>
  <w:style w:type="paragraph" w:styleId="Heading4">
    <w:name w:val="heading 4"/>
    <w:basedOn w:val="Normal"/>
    <w:next w:val="Normal"/>
    <w:qFormat/>
    <w:pPr>
      <w:keepNext w:val="true"/>
      <w:numPr>
        <w:ilvl w:val="3"/>
        <w:numId w:val="1"/>
      </w:numPr>
      <w:jc w:val="center"/>
      <w:outlineLvl w:val="3"/>
    </w:pPr>
    <w:rPr>
      <w:b/>
      <w:sz w:val="40"/>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left" w:pos="-1440" w:leader="none"/>
        <w:tab w:val="left" w:pos="-720" w:leader="none"/>
        <w:tab w:val="left" w:pos="-120" w:leader="none"/>
        <w:tab w:val="left" w:pos="720" w:leader="none"/>
      </w:tabs>
      <w:spacing w:before="0" w:after="58"/>
      <w:outlineLvl w:val="5"/>
    </w:pPr>
    <w:rPr>
      <w:b/>
      <w:sz w:val="20"/>
    </w:rPr>
  </w:style>
  <w:style w:type="paragraph" w:styleId="Heading7">
    <w:name w:val="heading 7"/>
    <w:basedOn w:val="Normal"/>
    <w:next w:val="Normal"/>
    <w:qFormat/>
    <w:pPr>
      <w:keepNext w:val="true"/>
      <w:numPr>
        <w:ilvl w:val="6"/>
        <w:numId w:val="1"/>
      </w:numPr>
      <w:tabs>
        <w:tab w:val="left" w:pos="-1440" w:leader="none"/>
        <w:tab w:val="left" w:pos="-720" w:leader="none"/>
        <w:tab w:val="left" w:pos="-120" w:leader="none"/>
        <w:tab w:val="left" w:pos="720" w:leader="none"/>
      </w:tabs>
      <w:ind w:hanging="5040" w:start="5760" w:end="0"/>
      <w:outlineLvl w:val="6"/>
    </w:pPr>
    <w:rPr>
      <w:b/>
      <w:sz w:val="16"/>
    </w:rPr>
  </w:style>
  <w:style w:type="paragraph" w:styleId="Heading8">
    <w:name w:val="heading 8"/>
    <w:basedOn w:val="Normal"/>
    <w:next w:val="Normal"/>
    <w:qFormat/>
    <w:pPr>
      <w:keepNext w:val="true"/>
      <w:numPr>
        <w:ilvl w:val="7"/>
        <w:numId w:val="1"/>
      </w:numPr>
      <w:tabs>
        <w:tab w:val="left" w:pos="-1440" w:leader="none"/>
        <w:tab w:val="left" w:pos="-720" w:leader="none"/>
        <w:tab w:val="left" w:pos="-120" w:leader="none"/>
        <w:tab w:val="left" w:pos="720" w:leader="none"/>
      </w:tabs>
      <w:spacing w:before="0" w:after="58"/>
      <w:jc w:val="center"/>
      <w:outlineLvl w:val="7"/>
    </w:pPr>
    <w:rPr>
      <w:i/>
      <w:sz w:val="20"/>
    </w:rPr>
  </w:style>
  <w:style w:type="paragraph" w:styleId="Heading9">
    <w:name w:val="heading 9"/>
    <w:basedOn w:val="Normal"/>
    <w:next w:val="Normal"/>
    <w:qFormat/>
    <w:pPr>
      <w:keepNext w:val="true"/>
      <w:numPr>
        <w:ilvl w:val="8"/>
        <w:numId w:val="1"/>
      </w:numPr>
      <w:tabs>
        <w:tab w:val="clear" w:pos="720"/>
        <w:tab w:val="center" w:pos="6480" w:leader="none"/>
      </w:tabs>
      <w:outlineLvl w:val="8"/>
    </w:pPr>
    <w:rPr>
      <w:b/>
      <w:sz w:val="28"/>
    </w:rPr>
  </w:style>
  <w:style w:type="character" w:styleId="WW8Num4z0">
    <w:name w:val="WW8Num4z0"/>
    <w:qFormat/>
    <w:rPr>
      <w:b/>
    </w:rPr>
  </w:style>
  <w:style w:type="character" w:styleId="WW8Num5z0">
    <w:name w:val="WW8Num5z0"/>
    <w:qFormat/>
    <w:rPr/>
  </w:style>
  <w:style w:type="character" w:styleId="WW8Num8z0">
    <w:name w:val="WW8Num8z0"/>
    <w:qFormat/>
    <w:rPr>
      <w:rFonts w:ascii="Times New Roman" w:hAnsi="Times New Roman" w:cs="Times New Roman"/>
      <w:b w:val="false"/>
      <w:i w:val="false"/>
      <w:sz w:val="24"/>
      <w:u w:val="none"/>
    </w:rPr>
  </w:style>
  <w:style w:type="character" w:styleId="WW8Num11z0">
    <w:name w:val="WW8Num11z0"/>
    <w:qFormat/>
    <w:rPr>
      <w:rFonts w:ascii="Times New Roman" w:hAnsi="Times New Roman" w:cs="Times New Roman"/>
      <w:b w:val="false"/>
      <w:i w:val="false"/>
      <w:sz w:val="24"/>
      <w:u w:val="none"/>
    </w:rPr>
  </w:style>
  <w:style w:type="character" w:styleId="WW8Num12z0">
    <w:name w:val="WW8Num12z0"/>
    <w:qFormat/>
    <w:rPr>
      <w:rFonts w:ascii="Wingdings" w:hAnsi="Wingdings" w:cs="Wingdings"/>
    </w:rPr>
  </w:style>
  <w:style w:type="character" w:styleId="WW8Num22z0">
    <w:name w:val="WW8Num22z0"/>
    <w:qFormat/>
    <w:rPr>
      <w:b/>
    </w:rPr>
  </w:style>
  <w:style w:type="character" w:styleId="WW8Num23z0">
    <w:name w:val="WW8Num23z0"/>
    <w:qFormat/>
    <w:rPr>
      <w:rFonts w:ascii="Times New Roman" w:hAnsi="Times New Roman" w:cs="Times New Roman"/>
      <w:b w:val="false"/>
      <w:i w:val="false"/>
      <w:sz w:val="24"/>
      <w:u w:val="none"/>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20" w:leader="none"/>
        <w:tab w:val="left" w:pos="240" w:leader="none"/>
        <w:tab w:val="left" w:pos="510" w:leader="none"/>
        <w:tab w:val="left" w:pos="216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QuickA">
    <w:name w:val="Quick A."/>
    <w:basedOn w:val="Normal"/>
    <w:qFormat/>
    <w:pPr>
      <w:numPr>
        <w:ilvl w:val="0"/>
        <w:numId w:val="2"/>
      </w:numPr>
    </w:pPr>
    <w:rPr/>
  </w:style>
  <w:style w:type="paragraph" w:styleId="BodyTextIndent">
    <w:name w:val="Body Text Indent"/>
    <w:basedOn w:val="Normal"/>
    <w:pPr>
      <w:tabs>
        <w:tab w:val="clear" w:pos="720"/>
        <w:tab w:val="left" w:pos="-1440" w:leader="none"/>
        <w:tab w:val="left" w:pos="-720" w:leader="none"/>
        <w:tab w:val="left" w:pos="-120" w:leader="none"/>
        <w:tab w:val="left" w:pos="240" w:leader="none"/>
        <w:tab w:val="left" w:pos="510" w:leader="none"/>
        <w:tab w:val="left" w:pos="2160" w:leader="none"/>
      </w:tabs>
      <w:ind w:hanging="270" w:start="51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2000-10-20T20:08:00Z</dcterms:created>
  <dc:creator>James D. Kopp</dc:creator>
  <dc:description/>
  <dc:language>en-CA</dc:language>
  <cp:lastModifiedBy>dkelle2</cp:lastModifiedBy>
  <cp:lastPrinted>2000-10-18T17:25:00Z</cp:lastPrinted>
  <dcterms:modified xsi:type="dcterms:W3CDTF">2000-10-20T20:24:00Z</dcterms:modified>
  <cp:revision>3</cp:revision>
  <dc:subject/>
  <dc:title>Draft</dc:title>
</cp:coreProperties>
</file>