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40"/>
        </w:rPr>
      </w:pPr>
      <w:r>
        <w:rPr>
          <w:b/>
          <w:sz w:val="40"/>
        </w:rPr>
        <w:tab/>
        <w:tab/>
      </w:r>
    </w:p>
    <w:p>
      <w:pPr>
        <w:pStyle w:val="Normal"/>
        <w:rPr>
          <w:b/>
          <w:sz w:val="40"/>
        </w:rPr>
      </w:pPr>
      <w:r>
        <w:rPr>
          <w:b/>
          <w:sz w:val="40"/>
        </w:rPr>
      </w:r>
    </w:p>
    <w:p>
      <w:pPr>
        <w:pStyle w:val="Heading4"/>
        <w:ind w:hanging="0" w:start="0"/>
        <w:rPr/>
      </w:pPr>
      <w:r>
        <w:rPr/>
        <w:t>PROJECT WHEAT</w:t>
      </w:r>
    </w:p>
    <w:p>
      <w:pPr>
        <w:pStyle w:val="Heading4"/>
        <w:ind w:hanging="0" w:start="0"/>
        <w:rPr/>
      </w:pPr>
      <w:r>
        <w:rPr/>
        <w:t>Document and Information Request</w:t>
      </w:r>
    </w:p>
    <w:p>
      <w:pPr>
        <w:pStyle w:val="Normal"/>
        <w:numPr>
          <w:ilvl w:val="0"/>
          <w:numId w:val="0"/>
        </w:numPr>
        <w:tabs>
          <w:tab w:val="clear" w:pos="720"/>
          <w:tab w:val="center" w:pos="6480" w:leader="none"/>
        </w:tabs>
        <w:outlineLvl w:val="0"/>
        <w:rPr>
          <w:b/>
          <w:sz w:val="40"/>
        </w:rPr>
      </w:pPr>
      <w:r>
        <w:rPr>
          <w:b/>
          <w:sz w:val="40"/>
        </w:rPr>
      </w:r>
    </w:p>
    <w:p>
      <w:pPr>
        <w:pStyle w:val="Normal"/>
        <w:numPr>
          <w:ilvl w:val="0"/>
          <w:numId w:val="0"/>
        </w:numPr>
        <w:tabs>
          <w:tab w:val="clear" w:pos="720"/>
          <w:tab w:val="center" w:pos="6480" w:leader="none"/>
        </w:tabs>
        <w:jc w:val="center"/>
        <w:outlineLvl w:val="0"/>
        <w:rPr>
          <w:b/>
          <w:sz w:val="40"/>
        </w:rPr>
      </w:pPr>
      <w:r>
        <w:rPr>
          <w:b/>
          <w:sz w:val="40"/>
        </w:rPr>
        <w:t>For</w:t>
      </w:r>
    </w:p>
    <w:p>
      <w:pPr>
        <w:pStyle w:val="Normal"/>
        <w:numPr>
          <w:ilvl w:val="0"/>
          <w:numId w:val="0"/>
        </w:numPr>
        <w:tabs>
          <w:tab w:val="clear" w:pos="720"/>
          <w:tab w:val="center" w:pos="6480" w:leader="none"/>
        </w:tabs>
        <w:jc w:val="center"/>
        <w:outlineLvl w:val="0"/>
        <w:rPr>
          <w:b/>
          <w:sz w:val="40"/>
        </w:rPr>
      </w:pPr>
      <w:r>
        <w:rPr>
          <w:b/>
          <w:sz w:val="40"/>
        </w:rPr>
        <w:t>Enron</w:t>
      </w:r>
    </w:p>
    <w:p>
      <w:pPr>
        <w:pStyle w:val="Normal"/>
        <w:numPr>
          <w:ilvl w:val="0"/>
          <w:numId w:val="0"/>
        </w:numPr>
        <w:tabs>
          <w:tab w:val="clear" w:pos="720"/>
          <w:tab w:val="center" w:pos="6480" w:leader="none"/>
        </w:tabs>
        <w:jc w:val="center"/>
        <w:outlineLvl w:val="0"/>
        <w:rPr>
          <w:b/>
          <w:sz w:val="40"/>
        </w:rPr>
      </w:pPr>
      <w:r>
        <w:rPr>
          <w:b/>
          <w:sz w:val="40"/>
        </w:rPr>
        <w:t>Wheatland Facility</w:t>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t>Susan Flanagan</w:t>
      </w:r>
    </w:p>
    <w:p>
      <w:pPr>
        <w:pStyle w:val="Normal"/>
        <w:rPr>
          <w:b/>
          <w:sz w:val="28"/>
        </w:rPr>
      </w:pPr>
      <w:r>
        <w:rPr>
          <w:b/>
          <w:sz w:val="28"/>
        </w:rPr>
        <w:t>Vice President of M&amp;A</w:t>
      </w:r>
    </w:p>
    <w:p>
      <w:pPr>
        <w:pStyle w:val="Normal"/>
        <w:rPr>
          <w:b/>
          <w:sz w:val="28"/>
        </w:rPr>
      </w:pPr>
      <w:r>
        <w:rPr>
          <w:b/>
          <w:sz w:val="28"/>
        </w:rPr>
        <w:t>DPL Inc.</w:t>
      </w:r>
    </w:p>
    <w:p>
      <w:pPr>
        <w:pStyle w:val="Normal"/>
        <w:rPr>
          <w:b/>
          <w:sz w:val="28"/>
        </w:rPr>
      </w:pPr>
      <w:r>
        <w:rPr>
          <w:b/>
          <w:sz w:val="28"/>
        </w:rPr>
        <w:t>(937) 258-5506</w:t>
      </w:r>
    </w:p>
    <w:p>
      <w:pPr>
        <w:pStyle w:val="Normal"/>
        <w:rPr>
          <w:b/>
          <w:sz w:val="28"/>
        </w:rPr>
      </w:pPr>
      <w:r>
        <w:rPr>
          <w:b/>
          <w:sz w:val="28"/>
        </w:rPr>
        <w:t>Fax (937) 259-7386</w:t>
      </w:r>
    </w:p>
    <w:p>
      <w:pPr>
        <w:pStyle w:val="Normal"/>
        <w:rPr>
          <w:b/>
          <w:sz w:val="28"/>
        </w:rPr>
      </w:pPr>
      <w:r>
        <w:rPr>
          <w:b/>
          <w:sz w:val="28"/>
        </w:rPr>
        <w:t>Email DPLFLAN@Aol.com</w:t>
      </w:r>
      <w:r>
        <w:br w:type="page"/>
      </w:r>
    </w:p>
    <w:p>
      <w:pPr>
        <w:pStyle w:val="Heading2"/>
        <w:numPr>
          <w:ilvl w:val="0"/>
          <w:numId w:val="0"/>
        </w:numPr>
        <w:tabs>
          <w:tab w:val="clear" w:pos="6480"/>
        </w:tabs>
        <w:rPr>
          <w:b/>
          <w:sz w:val="28"/>
        </w:rPr>
      </w:pPr>
      <w:r>
        <w:rPr>
          <w:b/>
          <w:sz w:val="28"/>
        </w:rPr>
      </w:r>
    </w:p>
    <w:p>
      <w:pPr>
        <w:sectPr>
          <w:headerReference w:type="default" r:id="rId2"/>
          <w:footerReference w:type="default" r:id="rId3"/>
          <w:type w:val="nextPage"/>
          <w:pgSz w:orient="landscape" w:w="15840" w:h="12240"/>
          <w:pgMar w:left="1440" w:right="1440" w:gutter="0" w:header="720" w:top="1440" w:footer="720" w:bottom="1440"/>
          <w:pgNumType w:fmt="decimal"/>
          <w:formProt w:val="false"/>
          <w:textDirection w:val="lrTb"/>
          <w:docGrid w:type="default" w:linePitch="360" w:charSpace="0"/>
        </w:sectPr>
      </w:pPr>
    </w:p>
    <w:tbl>
      <w:tblPr>
        <w:tblW w:w="13770" w:type="dxa"/>
        <w:jc w:val="start"/>
        <w:tblInd w:w="-240" w:type="dxa"/>
        <w:tblLayout w:type="fixed"/>
        <w:tblCellMar>
          <w:top w:w="0" w:type="dxa"/>
          <w:start w:w="120" w:type="dxa"/>
          <w:bottom w:w="0" w:type="dxa"/>
          <w:end w:w="120" w:type="dxa"/>
        </w:tblCellMar>
      </w:tblPr>
      <w:tblGrid>
        <w:gridCol w:w="540"/>
        <w:gridCol w:w="5220"/>
        <w:gridCol w:w="1260"/>
        <w:gridCol w:w="1170"/>
        <w:gridCol w:w="1350"/>
        <w:gridCol w:w="4230"/>
      </w:tblGrid>
      <w:tr>
        <w:trPr>
          <w:tblHeader w:val="true"/>
        </w:trPr>
        <w:tc>
          <w:tcPr>
            <w:tcW w:w="54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2"/>
              </w:numPr>
              <w:jc w:val="center"/>
              <w:rPr>
                <w:b/>
                <w:sz w:val="20"/>
              </w:rPr>
            </w:pPr>
            <w:r>
              <w:rPr>
                <w:b/>
                <w:sz w:val="20"/>
              </w:rPr>
              <w:t>`</w:t>
            </w:r>
          </w:p>
        </w:tc>
        <w:tc>
          <w:tcPr>
            <w:tcW w:w="522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Management/General</w:t>
            </w:r>
          </w:p>
        </w:tc>
        <w:tc>
          <w:tcPr>
            <w:tcW w:w="126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170" w:type="dxa"/>
            <w:tcBorders>
              <w:top w:val="single" w:sz="8" w:space="0" w:color="000000"/>
              <w:start w:val="single" w:sz="8"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35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rPr>
            </w:pPr>
            <w:r>
              <w:rPr>
                <w:b/>
              </w:rPr>
              <w:t>Status</w:t>
            </w:r>
          </w:p>
        </w:tc>
        <w:tc>
          <w:tcPr>
            <w:tcW w:w="423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rPr>
            </w:pPr>
            <w:r>
              <w:rPr>
                <w:b/>
              </w:rPr>
              <w:t>Comments</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copies of all contracts and sub-contracts (including all contracts and subcontracts that are currently being negotiated) for the Wheatland facility, including but not limited to, Enron contracts with OEC, interconnection agreements, fuel contracts, maintenance/service contracts, water supply and makeup contracts, etc.</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All contracts that will remain in place are located in DealBench.  We envision that the O&amp;M Contract w/OEC will be terminated.  See DealBench Doc. # 01.02.10</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Westinghouse Warranty Documents.</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See DealBench Doc # 01.03.02.03</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describe the control area and scheduling services provided by Enron affiliate under separate contract.</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To Discuss with Company</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the lease between Lake Acquisition and West Fork. In addition, provide any drawings, maps and photos associated w/ the lake.</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Lease is in DealBench. Enron has provided these drawings.</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Document 01.02.23 “Easements / Right of Ways”.</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 xml:space="preserve">Enron provided </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Document 01.02.23.10 “Carnahaw Easement”.</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b/>
              </w:rPr>
            </w:pPr>
            <w:r>
              <w:rPr>
                <w:sz w:val="20"/>
              </w:rPr>
              <w:t>Enron provided</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the survey by Matthew W. Wannesmuehler of Benardin Lochmueller &amp; Associates”.</w:t>
            </w:r>
          </w:p>
        </w:tc>
        <w:tc>
          <w:tcPr>
            <w:tcW w:w="1260" w:type="dxa"/>
            <w:tcBorders>
              <w:top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b/>
              </w:rPr>
            </w:pPr>
            <w:r>
              <w:rPr>
                <w:sz w:val="20"/>
              </w:rPr>
              <w:t>Enron provided</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Document 01.03.02 “Westinghouse Proposals”.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Westinghouse will not grant us permission to release.  Doc. 01.03.02.03 is the only Westinghouse contract available.</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current Salary and bonus structure, resumes and employment contracts for existing site personnel</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b/>
              </w:rPr>
            </w:pPr>
            <w:r>
              <w:rPr>
                <w:sz w:val="20"/>
              </w:rPr>
              <w:t>To Discuss with Company</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documents regarding leases, ownership, options, etc. for the property adjacent to the facility.</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No documents exist. (other than the Contract of Sale for the Meuser property (which is on DealBench)) which entitle or require West Fork to purchase any adjacent property.  All contracts pursuant to which the plant site was acquired are also on DealBench..</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list any litigation or disputes that involve or are a result of the site development/operation or other litigation pending involving the LLCs.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These are listed in the Purchase and Sale schedules in DealBench.  No disputes exist.</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supply details of related party transactions/agreements pertaining to the Wheatland facility including administrative support, gas supply, electric supply and dispatch, environmental services, legal support, technical support, etc.</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No written agreements with related parties (i) are currently in place or (ii) will survive closing</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breakdown of all O&amp;M costs (current year and 3 year forecast) and the methodology used to develop the forecast. Provide any scheduled capital expenditures over the next 3 years.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Will provide ’00 Actuals and ’01 Budget.  No maintenance CAPEX is currently planned.</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Provide a schedule of all employee training completed to date and scheduled for the next year.</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 xml:space="preserve">Formal training for the Operations Technicians, Plant Supervisor, Plant Manager include Balance of plant Training through TriTech (1 week), SWPC (2 weeks) engine/controls, electrical safety operations, and Enron safety orientation. The Manager and Supervisor attended Maintimizer. The Administrative Clerk attended SAP. 2001 future training plans, which include Westation hardware, software and historian. </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the IPALCO and Cinergy open access tariffs filed w/ FERC and any supporting documentation indicating status.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Normal"/>
              <w:spacing w:lineRule="atLeast" w:line="240"/>
              <w:jc w:val="center"/>
              <w:rPr>
                <w:color w:val="000000"/>
                <w:sz w:val="20"/>
                <w:lang w:eastAsia="en-US"/>
              </w:rPr>
            </w:pPr>
            <w:r>
              <w:rPr>
                <w:color w:val="000000"/>
                <w:sz w:val="20"/>
                <w:lang w:eastAsia="en-US"/>
              </w:rPr>
              <w:t>Please go to this website:</w:t>
            </w:r>
          </w:p>
          <w:p>
            <w:pPr>
              <w:pStyle w:val="Normal"/>
              <w:spacing w:lineRule="atLeast" w:line="240"/>
              <w:jc w:val="center"/>
              <w:rPr>
                <w:color w:val="000000"/>
                <w:sz w:val="20"/>
                <w:lang w:eastAsia="en-US"/>
              </w:rPr>
            </w:pPr>
            <w:r>
              <w:rPr>
                <w:color w:val="000000"/>
                <w:sz w:val="20"/>
                <w:lang w:eastAsia="en-US"/>
              </w:rPr>
              <w:t>http://oasis.ecar.org/OASIS/NODE</w:t>
            </w:r>
          </w:p>
          <w:p>
            <w:pPr>
              <w:pStyle w:val="QuickA"/>
              <w:numPr>
                <w:ilvl w:val="0"/>
                <w:numId w:val="0"/>
              </w:numPr>
              <w:ind w:hanging="0" w:start="0"/>
              <w:jc w:val="center"/>
              <w:rPr>
                <w:color w:val="000000"/>
                <w:sz w:val="20"/>
                <w:lang w:eastAsia="en-US"/>
              </w:rPr>
            </w:pPr>
            <w:r>
              <w:rPr>
                <w:color w:val="000000"/>
                <w:sz w:val="20"/>
                <w:lang w:eastAsia="en-US"/>
              </w:rPr>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any other power agreement for the facility not included in the Deal Bench data room.</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There are none.</w:t>
            </w:r>
          </w:p>
        </w:tc>
      </w:tr>
    </w:tbl>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rPr/>
      </w:pPr>
      <w:r>
        <w:rPr/>
      </w:r>
    </w:p>
    <w:tbl>
      <w:tblPr>
        <w:tblW w:w="14490" w:type="dxa"/>
        <w:jc w:val="start"/>
        <w:tblInd w:w="-240" w:type="dxa"/>
        <w:tblLayout w:type="fixed"/>
        <w:tblCellMar>
          <w:top w:w="0" w:type="dxa"/>
          <w:start w:w="120" w:type="dxa"/>
          <w:bottom w:w="0" w:type="dxa"/>
          <w:end w:w="120" w:type="dxa"/>
        </w:tblCellMar>
      </w:tblPr>
      <w:tblGrid>
        <w:gridCol w:w="540"/>
        <w:gridCol w:w="5310"/>
        <w:gridCol w:w="1170"/>
        <w:gridCol w:w="1080"/>
        <w:gridCol w:w="1440"/>
        <w:gridCol w:w="4950"/>
      </w:tblGrid>
      <w:tr>
        <w:trPr>
          <w:tblHeader w:val="true"/>
        </w:trPr>
        <w:tc>
          <w:tcPr>
            <w:tcW w:w="540" w:type="dxa"/>
            <w:tcBorders>
              <w:top w:val="single" w:sz="8" w:space="0" w:color="000000"/>
              <w:start w:val="single" w:sz="8" w:space="0" w:color="000000"/>
              <w:bottom w:val="single" w:sz="8" w:space="0" w:color="000000"/>
              <w:end w:val="single" w:sz="8" w:space="0" w:color="000000"/>
            </w:tcBorders>
            <w:shd w:fill="F2F2F2" w:val="clear"/>
            <w:vAlign w:val="bottom"/>
          </w:tcPr>
          <w:p>
            <w:pPr>
              <w:pStyle w:val="QuickA"/>
              <w:numPr>
                <w:ilvl w:val="0"/>
                <w:numId w:val="6"/>
              </w:numPr>
              <w:snapToGrid w:val="false"/>
              <w:jc w:val="center"/>
              <w:rPr>
                <w:b/>
                <w:sz w:val="20"/>
              </w:rPr>
            </w:pPr>
            <w:r>
              <w:rPr>
                <w:b/>
                <w:sz w:val="20"/>
              </w:rPr>
            </w:r>
          </w:p>
        </w:tc>
        <w:tc>
          <w:tcPr>
            <w:tcW w:w="531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Technical</w:t>
            </w:r>
          </w:p>
        </w:tc>
        <w:tc>
          <w:tcPr>
            <w:tcW w:w="117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08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440" w:type="dxa"/>
            <w:tcBorders>
              <w:top w:val="single" w:sz="8" w:space="0" w:color="000000"/>
              <w:start w:val="single" w:sz="4"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rPr>
            </w:pPr>
            <w:r>
              <w:rPr>
                <w:b/>
              </w:rPr>
              <w:t>Status</w:t>
            </w:r>
          </w:p>
        </w:tc>
        <w:tc>
          <w:tcPr>
            <w:tcW w:w="4950" w:type="dxa"/>
            <w:tcBorders>
              <w:top w:val="single" w:sz="8" w:space="0" w:color="000000"/>
              <w:start w:val="single" w:sz="4" w:space="0" w:color="000000"/>
              <w:bottom w:val="single" w:sz="8"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sz w:val="20"/>
              </w:rPr>
            </w:pPr>
            <w:r>
              <w:rPr>
                <w:b/>
                <w:sz w:val="20"/>
              </w:rPr>
              <w:t>C</w:t>
            </w:r>
            <w:r>
              <w:rPr>
                <w:b/>
              </w:rPr>
              <w:t>omments</w:t>
            </w:r>
          </w:p>
        </w:tc>
      </w:tr>
      <w:tr>
        <w:trPr/>
        <w:tc>
          <w:tcPr>
            <w:tcW w:w="540" w:type="dxa"/>
            <w:tcBorders>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b/>
                <w:sz w:val="20"/>
              </w:rPr>
            </w:r>
          </w:p>
        </w:tc>
        <w:tc>
          <w:tcPr>
            <w:tcW w:w="5310" w:type="dxa"/>
            <w:tcBorders>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all scheduled maintenance for the next three (3) years.</w:t>
            </w:r>
          </w:p>
        </w:tc>
        <w:tc>
          <w:tcPr>
            <w:tcW w:w="1170" w:type="dxa"/>
            <w:tcBorders>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maintenance is a function of starts and/or run hours.  Other than planned near-term maintenance, nothing else is planned.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list of Westinghouse modifications or upgrades for the 501D’s.</w:t>
            </w:r>
          </w:p>
          <w:p>
            <w:pPr>
              <w:pStyle w:val="Normal"/>
              <w:numPr>
                <w:ilvl w:val="0"/>
                <w:numId w:val="5"/>
              </w:numPr>
              <w:tabs>
                <w:tab w:val="clear" w:pos="720"/>
                <w:tab w:val="left" w:pos="-1440" w:leader="none"/>
                <w:tab w:val="left" w:pos="-720" w:leader="none"/>
                <w:tab w:val="left" w:pos="-120" w:leader="none"/>
                <w:tab w:val="left" w:pos="240" w:leader="none"/>
                <w:tab w:val="left" w:pos="510" w:leader="none"/>
                <w:tab w:val="left" w:pos="2160" w:leader="none"/>
              </w:tabs>
              <w:spacing w:before="0" w:after="58"/>
              <w:ind w:hanging="360" w:start="600" w:end="0"/>
              <w:rPr>
                <w:sz w:val="20"/>
              </w:rPr>
            </w:pPr>
            <w:r>
              <w:rPr>
                <w:sz w:val="20"/>
              </w:rPr>
              <w:t>List of modifications/upgrades that Enron has incorporated, or anticipates incorporating, into the facility.</w:t>
            </w:r>
          </w:p>
          <w:p>
            <w:pPr>
              <w:pStyle w:val="Normal"/>
              <w:numPr>
                <w:ilvl w:val="0"/>
                <w:numId w:val="5"/>
              </w:numPr>
              <w:tabs>
                <w:tab w:val="clear" w:pos="720"/>
                <w:tab w:val="left" w:pos="-1440" w:leader="none"/>
                <w:tab w:val="left" w:pos="-720" w:leader="none"/>
                <w:tab w:val="left" w:pos="-120" w:leader="none"/>
                <w:tab w:val="left" w:pos="240" w:leader="none"/>
                <w:tab w:val="left" w:pos="510" w:leader="none"/>
                <w:tab w:val="left" w:pos="2160" w:leader="none"/>
              </w:tabs>
              <w:spacing w:before="0" w:after="58"/>
              <w:ind w:hanging="360" w:start="600" w:end="0"/>
              <w:rPr>
                <w:sz w:val="20"/>
              </w:rPr>
            </w:pPr>
            <w:r>
              <w:rPr>
                <w:sz w:val="20"/>
              </w:rPr>
              <w:t xml:space="preserve">ENRON’s plans for mitigating any turbine blade cracking issues associated w/ these machines. </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We are modifying the Generator Bearings pursuant to Westinghouse modifications, which are fleet wide modifications.</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QuickA"/>
              <w:numPr>
                <w:ilvl w:val="0"/>
                <w:numId w:val="0"/>
              </w:numPr>
              <w:ind w:hanging="0" w:start="0"/>
              <w:rPr>
                <w:sz w:val="20"/>
              </w:rPr>
            </w:pPr>
            <w:r>
              <w:rPr>
                <w:sz w:val="20"/>
              </w:rPr>
              <w:t>Please provide any studies conducted toward the expansion of the facility for more simple cycle gas turbines, or toward the conversion of the facility to a combined cycle plant. Please include the Technical and Economic backup.</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Designed to facilitate CCGT, with the appropriate underground interferences, spacing and water issues analyzed. Nothing materially done in terms of studies or actual documentation.  Also, have not done full aquifer analysis testing and water consumption analysis.</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Westinghouse bulletins related to the Wheatland facility.</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the “Engineering Drawings – Construction Drawings and Plot Plans” and all one-line diagrams of the Power Block and Switchyard.</w:t>
            </w:r>
          </w:p>
        </w:tc>
        <w:tc>
          <w:tcPr>
            <w:tcW w:w="1170" w:type="dxa"/>
            <w:tcBorders>
              <w:top w:val="single" w:sz="6" w:space="0" w:color="000000"/>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Enron already provided this information.</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startup curves for cold, warm and hot starts for all four units.</w:t>
            </w:r>
          </w:p>
        </w:tc>
        <w:tc>
          <w:tcPr>
            <w:tcW w:w="1170" w:type="dxa"/>
            <w:tcBorders>
              <w:top w:val="single" w:sz="2" w:space="0" w:color="000000"/>
              <w:start w:val="single" w:sz="4" w:space="0" w:color="000000"/>
              <w:bottom w:val="single" w:sz="2" w:space="0" w:color="000000"/>
              <w:end w:val="single" w:sz="2"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See DealBench Doc # 04.01.03 G</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explaining the apparent difference in the output and performance of Unit 3.</w:t>
            </w:r>
          </w:p>
        </w:tc>
        <w:tc>
          <w:tcPr>
            <w:tcW w:w="1170" w:type="dxa"/>
            <w:tcBorders>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Unit 3 was tested at low ambient conditions, which precluded full power operation due to turbine mechanical limits. Since the site passed its overall performance test.  This unit was not re-tested.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the Oct. 2000 maintenance outage work scope and final outage report.</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 by Enron – Attached/Fax.</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explain the gas pressure related issues identified in the June Operation Report from C. Norris to M. Robbins dated July 10, 2000.</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Initially, the plant manager had concern for the low pressures, but ultimately the pressure never got low enough to have any real concern.</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 xml:space="preserve">Please provide your procedure for storing and handling “critical” spare parts (i.e.; WDPF boards).  Provide your definition for classifying parts as “critical” and your list of “critical” spare parts.  </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Spare parts are delivered from SWPC Orlando.  The parts are inventoried and reconciled against to original purchase order.  They are inspected to the best ability of the Technicians.  The parts are listed in the system and stored in a specified location.  Currently all spare cards are kept in one particular cabinet.</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following gas pipeline information:</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Points of gas receipt used for the site</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Has the interruptible contract caused any supply disruptions or problems w/ lack of pressure?</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The root cause for the units being inoperable due to pressure</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Can the existing gas contracts be assigned to purchaser?</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 xml:space="preserve">How does the pipeline treat hourly and daily gas use imbalances? </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How much notice is needed for unit startup and shut down?</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Can the plant operate w/o a gas nomination?</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The Wheatland interconnect is off of Midwestern</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Supply disruptions have not been encountered.</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 xml:space="preserve">Never has happened (Can run between 500-900 psi).  The units were never inoperable.  The pressure was noted as low in a proactive manner.  Delivery pressure to the GT is 350 PSI.  </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Gas transport documents are in DealBench and will be assigned with the sale.</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 xml:space="preserve"> </w:t>
            </w:r>
            <w:r>
              <w:rPr>
                <w:sz w:val="20"/>
              </w:rPr>
              <w:t>Doesn’t have to be in balance hourly.  The pipeline is a daily imbalance.</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30-minute ramp up and minimal notice to shut down.</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Midwestern requests that a nomination be provided, but we have operated with out one.</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How much pipeline capacity is available for the facility?</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b/>
                <w:sz w:val="20"/>
              </w:rPr>
            </w:pPr>
            <w:r>
              <w:rPr>
                <w:sz w:val="20"/>
              </w:rPr>
              <w:t>The max flow rate is approximately 190,000MMBtu/day or 7,900 MMBtu/hr.  Currently at 500 MWs and 11.5 heat rate is approximately 5,750 MMBtu/hr.</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b/>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Were other pipelines considered for use during the facility planning and development stages? Why were the other pipelines not used (please provide supporting data)?</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No, Enron looked for the most logical spot, in terms of gas and power intersections and back-haul opportunities from liquid point to the Chicago market hub.  For this site, this is the only pipeline to use.</w:t>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rPr/>
      </w:pPr>
      <w:r>
        <w:rPr/>
      </w:r>
    </w:p>
    <w:tbl>
      <w:tblPr>
        <w:tblW w:w="14490" w:type="dxa"/>
        <w:jc w:val="start"/>
        <w:tblInd w:w="-240" w:type="dxa"/>
        <w:tblLayout w:type="fixed"/>
        <w:tblCellMar>
          <w:top w:w="0" w:type="dxa"/>
          <w:start w:w="120" w:type="dxa"/>
          <w:bottom w:w="0" w:type="dxa"/>
          <w:end w:w="120" w:type="dxa"/>
        </w:tblCellMar>
      </w:tblPr>
      <w:tblGrid>
        <w:gridCol w:w="540"/>
        <w:gridCol w:w="5310"/>
        <w:gridCol w:w="1170"/>
        <w:gridCol w:w="1080"/>
        <w:gridCol w:w="1440"/>
        <w:gridCol w:w="4950"/>
      </w:tblGrid>
      <w:tr>
        <w:trPr>
          <w:tblHeader w:val="true"/>
        </w:trPr>
        <w:tc>
          <w:tcPr>
            <w:tcW w:w="540" w:type="dxa"/>
            <w:tcBorders>
              <w:top w:val="single" w:sz="8" w:space="0" w:color="000000"/>
              <w:start w:val="single" w:sz="8" w:space="0" w:color="000000"/>
              <w:bottom w:val="single" w:sz="8" w:space="0" w:color="000000"/>
              <w:end w:val="single" w:sz="8" w:space="0" w:color="000000"/>
            </w:tcBorders>
            <w:shd w:fill="F2F2F2" w:val="clear"/>
            <w:vAlign w:val="bottom"/>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b/>
                <w:sz w:val="20"/>
              </w:rPr>
            </w:pPr>
            <w:r>
              <w:rPr>
                <w:b/>
                <w:sz w:val="20"/>
              </w:rPr>
            </w:r>
          </w:p>
        </w:tc>
        <w:tc>
          <w:tcPr>
            <w:tcW w:w="531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Financial</w:t>
            </w:r>
          </w:p>
        </w:tc>
        <w:tc>
          <w:tcPr>
            <w:tcW w:w="117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08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440" w:type="dxa"/>
            <w:tcBorders>
              <w:top w:val="single" w:sz="8" w:space="0" w:color="000000"/>
              <w:start w:val="single" w:sz="8" w:space="0" w:color="000000"/>
              <w:bottom w:val="single" w:sz="8" w:space="0" w:color="000000"/>
              <w:end w:val="single" w:sz="4"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rPr>
            </w:pPr>
            <w:r>
              <w:rPr>
                <w:b/>
              </w:rPr>
              <w:t>Status</w:t>
            </w:r>
          </w:p>
        </w:tc>
        <w:tc>
          <w:tcPr>
            <w:tcW w:w="4950" w:type="dxa"/>
            <w:tcBorders>
              <w:top w:val="single" w:sz="8" w:space="0" w:color="000000"/>
              <w:start w:val="single" w:sz="4" w:space="0" w:color="000000"/>
              <w:bottom w:val="single" w:sz="8"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ind w:end="1590"/>
              <w:jc w:val="center"/>
              <w:rPr>
                <w:b/>
              </w:rPr>
            </w:pPr>
            <w:r>
              <w:rPr>
                <w:b/>
              </w:rPr>
              <w:t>Comments</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b/>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annual and three (3) year Business Plans, including the additional capital forecasted</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 w:val="left" w:pos="4110" w:leader="none"/>
                <w:tab w:val="left" w:pos="4290" w:leader="none"/>
                <w:tab w:val="left" w:pos="4650" w:leader="none"/>
                <w:tab w:val="left" w:pos="4980" w:leader="none"/>
              </w:tabs>
              <w:spacing w:before="0" w:after="58"/>
              <w:ind w:end="510"/>
              <w:rPr>
                <w:sz w:val="20"/>
              </w:rPr>
            </w:pPr>
            <w:r>
              <w:rPr>
                <w:sz w:val="20"/>
              </w:rPr>
              <w:t>None Exist.</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analysis of capital cost estimates to determine the feasible of adding combined cycle or additional simple cycle generation to the site</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This has not been formally documented.</w:t>
            </w:r>
          </w:p>
        </w:tc>
      </w:tr>
      <w:tr>
        <w:trPr>
          <w:trHeight w:val="363" w:hRule="atLeast"/>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all LLC financial statements, including income statements and balance sheets on a quarterly and annual basis. Please provide monthly management reports.</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discuss with DPL.</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details of all liabilities of the LLCs as well as any commitments and contingencies or pending litigation, including employee obligations.</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discuss with DPL.</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What is the station power consumption rate and how much has been paid for this consumption in 2000?  Please provide the monthly cash flows.</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station power consumption rate at parasitic load with all turbines running is approximately 3 MWs.  With the plant running at standby the output is approximately .5 MWs.</w:t>
            </w:r>
          </w:p>
        </w:tc>
      </w:tr>
    </w:tbl>
    <w:p>
      <w:pPr>
        <w:pStyle w:val="Header"/>
        <w:tabs>
          <w:tab w:val="clear" w:pos="4320"/>
          <w:tab w:val="clear" w:pos="8640"/>
        </w:tabs>
        <w:ind w:end="684"/>
        <w:rPr/>
      </w:pPr>
      <w:r>
        <w:rPr/>
      </w:r>
      <w:r>
        <w:br w:type="page"/>
      </w:r>
    </w:p>
    <w:p>
      <w:pPr>
        <w:pStyle w:val="Header"/>
        <w:tabs>
          <w:tab w:val="clear" w:pos="4320"/>
          <w:tab w:val="clear" w:pos="8640"/>
        </w:tabs>
        <w:ind w:end="684"/>
        <w:rPr/>
      </w:pPr>
      <w:r>
        <w:rPr/>
      </w:r>
    </w:p>
    <w:tbl>
      <w:tblPr>
        <w:tblW w:w="14490" w:type="dxa"/>
        <w:jc w:val="start"/>
        <w:tblInd w:w="-240" w:type="dxa"/>
        <w:tblLayout w:type="fixed"/>
        <w:tblCellMar>
          <w:top w:w="0" w:type="dxa"/>
          <w:start w:w="120" w:type="dxa"/>
          <w:bottom w:w="0" w:type="dxa"/>
          <w:end w:w="120" w:type="dxa"/>
        </w:tblCellMar>
      </w:tblPr>
      <w:tblGrid>
        <w:gridCol w:w="630"/>
        <w:gridCol w:w="5220"/>
        <w:gridCol w:w="1170"/>
        <w:gridCol w:w="1080"/>
        <w:gridCol w:w="1440"/>
        <w:gridCol w:w="4950"/>
      </w:tblGrid>
      <w:tr>
        <w:trPr>
          <w:tblHeader w:val="true"/>
        </w:trPr>
        <w:tc>
          <w:tcPr>
            <w:tcW w:w="630" w:type="dxa"/>
            <w:tcBorders>
              <w:top w:val="single" w:sz="8" w:space="0" w:color="000000"/>
              <w:start w:val="single" w:sz="8" w:space="0" w:color="000000"/>
              <w:bottom w:val="single" w:sz="8" w:space="0" w:color="000000"/>
              <w:end w:val="single" w:sz="8" w:space="0" w:color="000000"/>
            </w:tcBorders>
            <w:shd w:fill="F2F2F2" w:val="clear"/>
            <w:vAlign w:val="bottom"/>
          </w:tcPr>
          <w:p>
            <w:pPr>
              <w:pStyle w:val="QuickA"/>
              <w:numPr>
                <w:ilvl w:val="0"/>
                <w:numId w:val="0"/>
              </w:numPr>
              <w:ind w:hanging="0" w:start="0"/>
              <w:rPr>
                <w:b/>
                <w:sz w:val="20"/>
              </w:rPr>
            </w:pPr>
            <w:r>
              <w:rPr>
                <w:b/>
                <w:sz w:val="20"/>
              </w:rPr>
              <w:t>4.0</w:t>
            </w:r>
          </w:p>
        </w:tc>
        <w:tc>
          <w:tcPr>
            <w:tcW w:w="522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Environmental</w:t>
            </w:r>
          </w:p>
        </w:tc>
        <w:tc>
          <w:tcPr>
            <w:tcW w:w="117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08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440" w:type="dxa"/>
            <w:tcBorders>
              <w:top w:val="single" w:sz="8" w:space="0" w:color="000000"/>
              <w:start w:val="single" w:sz="4"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rPr>
            </w:pPr>
            <w:r>
              <w:rPr>
                <w:b/>
              </w:rPr>
              <w:t>Status</w:t>
            </w:r>
          </w:p>
        </w:tc>
        <w:tc>
          <w:tcPr>
            <w:tcW w:w="4950" w:type="dxa"/>
            <w:tcBorders>
              <w:top w:val="single" w:sz="8" w:space="0" w:color="000000"/>
              <w:start w:val="single" w:sz="4" w:space="0" w:color="000000"/>
              <w:bottom w:val="single" w:sz="8"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rPr>
            </w:pPr>
            <w:r>
              <w:rPr>
                <w:b/>
              </w:rPr>
              <w:t>Comments</w:t>
            </w:r>
          </w:p>
        </w:tc>
      </w:tr>
      <w:tr>
        <w:trPr>
          <w:trHeight w:val="1528" w:hRule="atLeast"/>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emission profiles with and without evaporative cooling, at load ranges of 0 – 100% (in 5% increments) at ambient temperatures of –15, -5, 5, 15, 25, 35, 45, 55, 65, 75, 85, and 95 degrees F, that include the #/hr and ppmvd of NOx CO, SO2, VOC, and particulates, as adjusted for site elevation.  Emission profiles should also include output, heat rate, exhaust flow, exhaust temp.</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Please note that Appendix B-1 of the air permit (See DealBench Doc # 02.01.02 A) application provides emission profiles for 75% and 100% load factors at 0, 27, 57, 89, and 95 degrees.  Otherwise see DealBench Doc. # 04.01.07</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emissions compliance testing conducted in accordance with NSPS and Permit to Construct and any emissions testing to validate equipment warranties.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A copy of the Performance Test Report (04.01.03 A-E) conducted by McHale &amp; Associates prior to commissioning the turbines has been placed in the data room. Due to economic reasons, the EPA accepted this report as conditional demonstration of compliance with NSPS Subpart GG, pending a complete NSPS compliance demonstration to be conducted by January 30, 2001 during CEMS certification.</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plant monitoring data for fuel nitrogen and sulfur content.</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 xml:space="preserve">The plant has not been sampled for fuel nitrogen and sulfur content in natural gas. The plant relied on sampling data generated by the natural gas supplier to ensure compliance with the NSPS requirements. The plant also has an approval from the EPA to conduct sulfur sampling on a semi-annual basis. </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water-to-fuel ratio data during all operating hours.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There has been hundreds of operating hours (all units combined).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Title 5 application submitted to IDEM.</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Title V application has not been submitted. The due date for this application is April 2001.</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Phase II Acid Rain Application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See DealBench – Document # 02.02.03 H</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results of CEM certification.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CEMS have not been certified. The EPA has approved an extension of the deadline until January 30, 2001.</w:t>
            </w:r>
          </w:p>
        </w:tc>
      </w:tr>
      <w:tr>
        <w:trPr>
          <w:trHeight w:val="2547" w:hRule="atLeast"/>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stack gas stratification issues.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While attempting to certify the CEMS on August 7, 2000 within 90 days from commencement of commercial operation, we conducted a stratification check on units 1 and 2. One probe location on the edge of the stack indicated high oxygen and low CO and NOx readings. A copy of the stratification emissions report has been placed in the data room. An investigation of the stratification problem has not yet been conducted. The EPA, however, has given an approval to delay the CEMS certification until January 30, 2001, and of a procedure to certify the CEMS despite stratification.</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NOx, CO2 and CO CEM reports for all operating hours, including ppm, #/hr, #/mmBtu and cumulative TPY.</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 by Enron –Attached Doc.</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CEM Standard Operating Procedures and QA/QC manual.</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A copy of the CEM and water Injection SOP’s has been provided on the SOP (See DealBench Doc # 04.01.10).  See SOP 07 and 14 and 29 for information concerning the actual operations of the equipment.  </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on initiation of water injection after startup (i.e. when water injection can be safely initiated).</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SWPC OEM technical manuals describe water injection start-up at above 50 MW.  SWPC is setting up new units at 35MW per SWPC directives.   With the demineralized water transfer pump running, the GT is started.  Once generator circuit breaker closes, the GT water injection pump auto starts and water goes to recirculation.  At 35MW the water injection flow control valves stroke open to initiate water flow.  Ratio is automatic control and the primary and supplementary water control valves will open/close accordingly through varying loads.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Preventive Maintenance Plan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To be provided by Enron – Attached/Fax</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Compliance Response Plan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b/>
                <w:sz w:val="20"/>
              </w:rPr>
            </w:pPr>
            <w:r>
              <w:rPr>
                <w:sz w:val="20"/>
              </w:rPr>
              <w:t>To be provided by Enron – Attached/Fax</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SPCC Plan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SPCC plan is still in development. The anticipated completion date is November 30, 2000.</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Affidavit of Construction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See DealBench Doc. # 02.01.02 B</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Operation Permit Validation letter.</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title V permit application has not been submitted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revision to the Permit to Construct dated 3-13-00.</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Heading6"/>
              <w:snapToGrid w:val="false"/>
              <w:ind w:hanging="0" w:start="0"/>
              <w:rPr>
                <w:b w:val="false"/>
              </w:rPr>
            </w:pPr>
            <w:r>
              <w:rPr>
                <w:b w:val="false"/>
              </w:rPr>
            </w:r>
          </w:p>
          <w:p>
            <w:pPr>
              <w:pStyle w:val="Heading6"/>
              <w:spacing w:before="0" w:after="58"/>
              <w:ind w:hanging="0" w:start="0"/>
              <w:rPr>
                <w:b w:val="false"/>
              </w:rPr>
            </w:pPr>
            <w:r>
              <w:rPr>
                <w:b w:val="false"/>
              </w:rPr>
              <w:t>The purpose of the permit change of March 13,2000 was to add a small (0.5) MMBtu/hr) diesel-fired emergency generator to the permit.  This generator was for the purpose of providing emergency freeze protection for equipment in the switchyard.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potable water supply agreement.</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Heading6"/>
              <w:snapToGrid w:val="false"/>
              <w:ind w:hanging="0" w:start="0"/>
              <w:rPr>
                <w:b w:val="false"/>
              </w:rPr>
            </w:pPr>
            <w:r>
              <w:rPr>
                <w:b w:val="false"/>
              </w:rPr>
            </w:r>
          </w:p>
          <w:p>
            <w:pPr>
              <w:pStyle w:val="Heading6"/>
              <w:spacing w:before="0" w:after="58"/>
              <w:ind w:hanging="0" w:start="0"/>
              <w:rPr>
                <w:b w:val="false"/>
              </w:rPr>
            </w:pPr>
            <w:r>
              <w:rPr>
                <w:b w:val="false"/>
              </w:rPr>
              <w:t>To my knowledge there is no “agreement”.  There is simply service account set-up through Knox County water system.</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data on local water supplies, including well logs of local wells.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See DealBench Doc # 02.06.05 B</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copies of any Phase II environmental assessments conducted on any properties included in this transaction.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Heading6"/>
              <w:spacing w:before="0" w:after="58"/>
              <w:ind w:hanging="0" w:start="0"/>
              <w:rPr>
                <w:b w:val="false"/>
              </w:rPr>
            </w:pPr>
            <w:r>
              <w:rPr>
                <w:b w:val="false"/>
              </w:rPr>
              <w:t>No Phase II assessments were performed for any of the sites as the Phase I assessments did not conclude that they were necessary.</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detail on any zoning restrictions related to stack height or noise.</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Heading6"/>
              <w:spacing w:before="0" w:after="58"/>
              <w:ind w:hanging="0" w:start="0"/>
              <w:rPr>
                <w:b w:val="false"/>
              </w:rPr>
            </w:pPr>
            <w:r>
              <w:rPr>
                <w:b w:val="false"/>
              </w:rPr>
              <w:t>Currently, there are no noise or stack height restrictions at the facility.</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water quality analysis of water withdrawn from lake.</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See DealBench Doc # 04.01.06</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water quality control procedures, including methods for pH and conductivity adjustments.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During water production periods Ecolochem Field Service Rep. ensures appropriate water quality per engine OEM standards.  The demineralizer trailers also employ online conductivity meters set at .5 micromhos to alarm operator of spent demin trailer.  The plant online conductivity meter downstream of the trailers also ensure quality water production.  It is calibrated and alarms at .5 micromho.  Conductivity adjustments are not necessary on the demineralized water because the trailers are removed from service once conductivity exceeds .5 micromho.  PH control is within range per the OEM and has not been necessary.  OEC Op. Techs. provide PH and conductivity sampling of tanks daily. See log.</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raw water filtering requirements, prior to demineralization.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Currently we utilize a cargo media filter.  Upstream of the cargo media filter an Alumina is injected to bond small particulate.  Additionally a bio is injected to kill biologicals.  Once filtered, the water is placed in the raw water tank for stand by for demineralization.  Cargo media filter, upon high differential pressure requires backflush.  Backflush water is micro filtered in the Ecolochem microfilter unit to recover up to 90% of the waste water stream for reuse in the raw water system.</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custom schedule request to USEPA.</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See DealBench Doc # 04.01 E</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costs associated with operation and maintenance of CEMs including annual RATA testing, calibration gases, spare parts, etc.</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Clean Air Engineering is retained under contract to conduct quarterly linearity checks and annual RATA’s. A copy of this contract has been placed in the data room. There has not been enough run time to obtain an accurate cost assessment</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contract with Ecolochem for demineralization of water.</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See DealBench Doc # 04.01.06</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CEM warranty agreement with CISCO.</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All Nepco purchased equipment meets the Nepco Warranty purchase agreement.  The agreement requires OEM’s to guarantee for one year.</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determination of SARA reporting requirements under 311 and 312.</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It is our assessment that we do not hold any SARA chemical in quantities greater than 10,000 lbs. SARA reporting is not required. Additionally, this plant began operation in April 2000. The first SARA report, if applicable, is not due until July 1, 2001.</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need for a mercaptan odorizing station.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Mercaptan provides an added safety and health enhancement at the facility.  The local gas supply is not odorized therefor it was determined through a HAZOP that the facilities will have Mercaptan but in minimal quantities only.</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copies of any hydrologic studies performed at the associated properties.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See DealBench Doc # 04.01.06</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schedule of all environmental, health and safety required training and associated procedures.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All safety and health procedures are available in the OEC safety manual.  Training has included but not limited to CSE, LOTO, electrical safety, fire fighting incipient level, HAZCOM, PPE, elevated heights/fall restraints, ladders, PFT and others.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maximum water withdrawal rates from the lake reservoir and explain any limitations.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Maximum water withdrawal from the lake due to plant operations is estimated to be 576,000gals. /day based on 400GPM over a 24 hour operating day.  Otherwise see DealBench Doc. # 02.03.20.</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attachments to Section 3 of the Monitoring Plan, including the natural gas sulfur content documentation and flue flow meter documentation.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See DealBench Doc # 04.01 F</w:t>
            </w:r>
          </w:p>
          <w:p>
            <w:pPr>
              <w:pStyle w:val="Normal"/>
              <w:tabs>
                <w:tab w:val="left" w:pos="-1440" w:leader="none"/>
                <w:tab w:val="left" w:pos="-720" w:leader="none"/>
                <w:tab w:val="left" w:pos="-120" w:leader="none"/>
                <w:tab w:val="left" w:pos="720" w:leader="none"/>
              </w:tabs>
              <w:spacing w:before="0" w:after="58"/>
              <w:rPr>
                <w:b/>
                <w:sz w:val="20"/>
              </w:rPr>
            </w:pPr>
            <w:r>
              <w:rPr>
                <w:b/>
                <w:sz w:val="20"/>
              </w:rPr>
            </w:r>
          </w:p>
        </w:tc>
      </w:tr>
      <w:tr>
        <w:trPr/>
        <w:tc>
          <w:tcPr>
            <w:tcW w:w="630" w:type="dxa"/>
            <w:tcBorders>
              <w:start w:val="single" w:sz="6" w:space="0" w:color="000000"/>
              <w:bottom w:val="single" w:sz="6" w:space="0" w:color="000000"/>
              <w:end w:val="single" w:sz="6" w:space="0" w:color="000000"/>
            </w:tcBorders>
            <w:vAlign w:val="center"/>
          </w:tcPr>
          <w:p>
            <w:pPr>
              <w:pStyle w:val="QuickA"/>
              <w:numPr>
                <w:ilvl w:val="0"/>
                <w:numId w:val="0"/>
              </w:numPr>
              <w:ind w:hanging="0" w:start="0"/>
              <w:rPr>
                <w:sz w:val="20"/>
              </w:rPr>
            </w:pPr>
            <w:r>
              <w:rPr>
                <w:sz w:val="20"/>
              </w:rPr>
              <w:t>4.35</w:t>
            </w:r>
          </w:p>
        </w:tc>
        <w:tc>
          <w:tcPr>
            <w:tcW w:w="5220" w:type="dxa"/>
            <w:tcBorders>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of the CO CEM system, including equipment and calculation method.</w:t>
            </w:r>
          </w:p>
        </w:tc>
        <w:tc>
          <w:tcPr>
            <w:tcW w:w="1170" w:type="dxa"/>
            <w:tcBorders>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With the delay in CEMs certification until January 30, 2001, we have until December 15, 2000 to submit a revised monitoring plan with the appropriate attachments</w:t>
            </w:r>
          </w:p>
        </w:tc>
      </w:tr>
    </w:tbl>
    <w:p>
      <w:pPr>
        <w:pStyle w:val="Header"/>
        <w:tabs>
          <w:tab w:val="clear" w:pos="4320"/>
          <w:tab w:val="clear" w:pos="8640"/>
        </w:tabs>
        <w:ind w:end="684"/>
        <w:rPr>
          <w:sz w:val="20"/>
        </w:rPr>
      </w:pPr>
      <w:r>
        <w:rPr>
          <w:sz w:val="20"/>
        </w:rPr>
      </w:r>
    </w:p>
    <w:p>
      <w:pPr>
        <w:pStyle w:val="Header"/>
        <w:tabs>
          <w:tab w:val="clear" w:pos="4320"/>
          <w:tab w:val="clear" w:pos="8640"/>
        </w:tabs>
        <w:ind w:end="684"/>
        <w:rPr>
          <w:sz w:val="20"/>
        </w:rPr>
      </w:pPr>
      <w:r>
        <w:rPr>
          <w:sz w:val="20"/>
        </w:rPr>
      </w:r>
    </w:p>
    <w:p>
      <w:pPr>
        <w:pStyle w:val="Header"/>
        <w:tabs>
          <w:tab w:val="clear" w:pos="4320"/>
          <w:tab w:val="clear" w:pos="8640"/>
        </w:tabs>
        <w:ind w:end="684"/>
        <w:rPr>
          <w:sz w:val="20"/>
        </w:rPr>
      </w:pPr>
      <w:r>
        <w:rPr>
          <w:sz w:val="20"/>
        </w:rPr>
      </w:r>
    </w:p>
    <w:p>
      <w:pPr>
        <w:pStyle w:val="Normal"/>
        <w:rPr>
          <w:rFonts w:ascii="Arial" w:hAnsi="Arial" w:cs="Arial"/>
          <w:b/>
          <w:lang w:eastAsia="en-US"/>
        </w:rPr>
      </w:pPr>
      <w:r>
        <w:rPr>
          <w:rFonts w:cs="Arial" w:ascii="Arial" w:hAnsi="Arial"/>
          <w:b/>
          <w:lang w:eastAsia="en-US"/>
        </w:rPr>
        <w:t>THE INFORMATION CONTAINED HEREIN IS BEING PROVIDED TO YOU PURSUANT TO AND SHOULD BE GOVERNED BY THAT CERTAIN CONFIDENTIALITY AGREEMENT ENTERED INTO AS OF SEPTEMBER 2000 BY AND BETWEEN ENRON NORTH AMERICA  CORP. AND YOUR COMPANY.</w:t>
      </w:r>
    </w:p>
    <w:p>
      <w:pPr>
        <w:pStyle w:val="Header"/>
        <w:tabs>
          <w:tab w:val="clear" w:pos="4320"/>
          <w:tab w:val="clear" w:pos="8640"/>
        </w:tabs>
        <w:ind w:end="684"/>
        <w:rPr>
          <w:rFonts w:ascii="Arial" w:hAnsi="Arial" w:cs="Arial"/>
          <w:b/>
          <w:sz w:val="20"/>
          <w:lang w:eastAsia="en-US"/>
        </w:rPr>
      </w:pPr>
      <w:r>
        <w:rPr>
          <w:rFonts w:cs="Arial" w:ascii="Arial" w:hAnsi="Arial"/>
          <w:b/>
          <w:sz w:val="20"/>
          <w:lang w:eastAsia="en-US"/>
        </w:rPr>
      </w:r>
    </w:p>
    <w:sectPr>
      <w:type w:val="continuous"/>
      <w:pgSz w:orient="landscape" w:w="15840" w:h="12240"/>
      <w:pgMar w:left="1008" w:right="1008" w:gutter="0" w:header="72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6480" w:leader="none"/>
        <w:tab w:val="right" w:pos="9360" w:leader="none"/>
      </w:tabs>
      <w:rPr>
        <w:sz w:val="20"/>
      </w:rPr>
    </w:pPr>
    <w:r>
      <w:rPr>
        <w:sz w:val="20"/>
      </w:rPr>
      <w:t>Status Legend:  A = Actual date received, P = Partial Response Received</w:t>
    </w:r>
  </w:p>
  <w:p>
    <w:pPr>
      <w:pStyle w:val="Normal"/>
      <w:tabs>
        <w:tab w:val="clear" w:pos="720"/>
        <w:tab w:val="left" w:pos="6480" w:leader="none"/>
        <w:tab w:val="right" w:pos="9360" w:leader="none"/>
      </w:tabs>
      <w:rPr>
        <w:sz w:val="20"/>
      </w:rPr>
    </w:pPr>
    <w:r>
      <w:rPr>
        <w:sz w:val="20"/>
      </w:rPr>
    </w:r>
  </w:p>
  <w:p>
    <w:pPr>
      <w:pStyle w:val="Normal"/>
      <w:tabs>
        <w:tab w:val="clear" w:pos="720"/>
        <w:tab w:val="left" w:pos="6480" w:leader="none"/>
        <w:tab w:val="right" w:pos="9360" w:leader="none"/>
      </w:tabs>
      <w:rPr>
        <w:sz w:val="20"/>
      </w:rPr>
    </w:pPr>
    <w:r>
      <w:rPr>
        <w:sz w:val="20"/>
      </w:rPr>
      <w:fldChar w:fldCharType="begin"/>
    </w:r>
    <w:r>
      <w:rPr>
        <w:sz w:val="20"/>
      </w:rPr>
      <w:instrText xml:space="preserve"> FILENAME </w:instrText>
    </w:r>
    <w:r>
      <w:rPr>
        <w:sz w:val="20"/>
      </w:rPr>
      <w:fldChar w:fldCharType="separate"/>
    </w:r>
    <w:r>
      <w:rPr>
        <w:sz w:val="20"/>
      </w:rPr>
      <w:t>DPL_Wheatland_Questions___Final.doc</w:t>
    </w:r>
    <w:r>
      <w:rPr>
        <w:sz w:val="20"/>
      </w:rPr>
      <w:fldChar w:fldCharType="end"/>
    </w:r>
  </w:p>
  <w:p>
    <w:pPr>
      <w:pStyle w:val="Normal"/>
      <w:tabs>
        <w:tab w:val="clear" w:pos="720"/>
        <w:tab w:val="left" w:pos="6480" w:leader="none"/>
        <w:tab w:val="right" w:pos="9360" w:leader="none"/>
      </w:tabs>
      <w:rPr/>
    </w:pPr>
    <w:r>
      <w:rPr>
        <w:sz w:val="20"/>
      </w:rPr>
      <w:fldChar w:fldCharType="begin"/>
    </w:r>
    <w:r>
      <w:rPr>
        <w:sz w:val="20"/>
      </w:rPr>
      <w:instrText xml:space="preserve"> DATE \@"MM\/dd\/yy" </w:instrText>
    </w:r>
    <w:r>
      <w:rPr>
        <w:sz w:val="20"/>
      </w:rPr>
      <w:fldChar w:fldCharType="separate"/>
    </w:r>
    <w:r>
      <w:rPr>
        <w:sz w:val="20"/>
      </w:rPr>
      <w:t>09/28/25</w:t>
    </w:r>
    <w:r>
      <w:rPr>
        <w:sz w:val="20"/>
      </w:rPr>
      <w:fldChar w:fldCharType="end"/>
    </w:r>
    <w:r>
      <w:rPr>
        <w:sz w:val="20"/>
      </w:rPr>
      <w:tab/>
      <w:t xml:space="preserve">- </w:t>
    </w:r>
    <w:r>
      <w:rPr>
        <w:sz w:val="20"/>
      </w:rPr>
      <w:fldChar w:fldCharType="begin"/>
    </w:r>
    <w:r>
      <w:rPr>
        <w:sz w:val="20"/>
      </w:rPr>
      <w:instrText xml:space="preserve"> PAGE </w:instrText>
    </w:r>
    <w:r>
      <w:rPr>
        <w:sz w:val="20"/>
      </w:rPr>
      <w:fldChar w:fldCharType="separate"/>
    </w:r>
    <w:r>
      <w:rPr>
        <w:sz w:val="20"/>
      </w:rPr>
      <w:t>11</w:t>
    </w:r>
    <w:r>
      <w:rPr>
        <w:sz w:val="20"/>
      </w:rPr>
      <w:fldChar w:fldCharType="end"/>
    </w:r>
    <w:r>
      <w:rPr>
        <w:sz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Confidential and Proprietary</w:t>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lvlText w:val="1.%1"/>
      <w:lvlJc w:val="start"/>
      <w:pPr>
        <w:tabs>
          <w:tab w:val="num" w:pos="360"/>
        </w:tabs>
        <w:ind w:start="0" w:hanging="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decimal"/>
      <w:lvlText w:val="3.%1"/>
      <w:lvlJc w:val="start"/>
      <w:pPr>
        <w:tabs>
          <w:tab w:val="num" w:pos="360"/>
        </w:tabs>
        <w:ind w:start="0" w:hanging="0"/>
      </w:p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numFmt w:val="decimal"/>
      <w:lvlText w:val="2.%1"/>
      <w:lvlJc w:val="start"/>
      <w:pPr>
        <w:tabs>
          <w:tab w:val="num" w:pos="360"/>
        </w:tabs>
        <w:ind w:start="0" w:hanging="0"/>
      </w:pPr>
    </w:lvl>
  </w:abstractNum>
  <w:abstractNum w:abstractNumId="7">
    <w:lvl w:ilvl="0">
      <w:numFmt w:val="decimal"/>
      <w:lvlText w:val="0.%1"/>
      <w:lvlJc w:val="start"/>
      <w:pPr>
        <w:tabs>
          <w:tab w:val="num" w:pos="720"/>
        </w:tabs>
        <w:ind w:start="0" w:hanging="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firstLine="1260" w:start="9360" w:end="-990"/>
      <w:outlineLvl w:val="0"/>
    </w:pPr>
    <w:rPr>
      <w:b/>
      <w:sz w:val="20"/>
    </w:rPr>
  </w:style>
  <w:style w:type="paragraph" w:styleId="Heading2">
    <w:name w:val="heading 2"/>
    <w:basedOn w:val="Normal"/>
    <w:next w:val="Normal"/>
    <w:qFormat/>
    <w:pPr>
      <w:keepNext w:val="true"/>
      <w:numPr>
        <w:ilvl w:val="1"/>
        <w:numId w:val="1"/>
      </w:numPr>
      <w:tabs>
        <w:tab w:val="clear" w:pos="720"/>
        <w:tab w:val="center" w:pos="6480" w:leader="none"/>
      </w:tabs>
      <w:jc w:val="center"/>
      <w:outlineLvl w:val="1"/>
    </w:pPr>
    <w:rPr>
      <w:b/>
      <w:sz w:val="28"/>
    </w:rPr>
  </w:style>
  <w:style w:type="paragraph" w:styleId="Heading3">
    <w:name w:val="heading 3"/>
    <w:basedOn w:val="Normal"/>
    <w:next w:val="Normal"/>
    <w:qFormat/>
    <w:pPr>
      <w:keepNext w:val="true"/>
      <w:numPr>
        <w:ilvl w:val="2"/>
        <w:numId w:val="1"/>
      </w:numPr>
      <w:ind w:firstLine="1260" w:start="9360" w:end="0"/>
      <w:jc w:val="both"/>
      <w:outlineLvl w:val="2"/>
    </w:pPr>
    <w:rPr>
      <w:b/>
      <w:sz w:val="20"/>
    </w:rPr>
  </w:style>
  <w:style w:type="paragraph" w:styleId="Heading4">
    <w:name w:val="heading 4"/>
    <w:basedOn w:val="Normal"/>
    <w:next w:val="Normal"/>
    <w:qFormat/>
    <w:pPr>
      <w:keepNext w:val="true"/>
      <w:numPr>
        <w:ilvl w:val="3"/>
        <w:numId w:val="1"/>
      </w:numPr>
      <w:jc w:val="center"/>
      <w:outlineLvl w:val="3"/>
    </w:pPr>
    <w:rPr>
      <w:b/>
      <w:sz w:val="40"/>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tabs>
        <w:tab w:val="left" w:pos="-1440" w:leader="none"/>
        <w:tab w:val="left" w:pos="-720" w:leader="none"/>
        <w:tab w:val="left" w:pos="-120" w:leader="none"/>
        <w:tab w:val="left" w:pos="720" w:leader="none"/>
      </w:tabs>
      <w:spacing w:before="0" w:after="58"/>
      <w:outlineLvl w:val="5"/>
    </w:pPr>
    <w:rPr>
      <w:b/>
      <w:sz w:val="20"/>
    </w:rPr>
  </w:style>
  <w:style w:type="paragraph" w:styleId="Heading7">
    <w:name w:val="heading 7"/>
    <w:basedOn w:val="Normal"/>
    <w:next w:val="Normal"/>
    <w:qFormat/>
    <w:pPr>
      <w:keepNext w:val="true"/>
      <w:numPr>
        <w:ilvl w:val="6"/>
        <w:numId w:val="1"/>
      </w:numPr>
      <w:tabs>
        <w:tab w:val="left" w:pos="-1440" w:leader="none"/>
        <w:tab w:val="left" w:pos="-720" w:leader="none"/>
        <w:tab w:val="left" w:pos="-120" w:leader="none"/>
        <w:tab w:val="left" w:pos="720" w:leader="none"/>
      </w:tabs>
      <w:ind w:hanging="5040" w:start="5760" w:end="0"/>
      <w:outlineLvl w:val="6"/>
    </w:pPr>
    <w:rPr>
      <w:b/>
      <w:sz w:val="16"/>
    </w:rPr>
  </w:style>
  <w:style w:type="paragraph" w:styleId="Heading8">
    <w:name w:val="heading 8"/>
    <w:basedOn w:val="Normal"/>
    <w:next w:val="Normal"/>
    <w:qFormat/>
    <w:pPr>
      <w:keepNext w:val="true"/>
      <w:numPr>
        <w:ilvl w:val="7"/>
        <w:numId w:val="1"/>
      </w:numPr>
      <w:tabs>
        <w:tab w:val="left" w:pos="-1440" w:leader="none"/>
        <w:tab w:val="left" w:pos="-720" w:leader="none"/>
        <w:tab w:val="left" w:pos="-120" w:leader="none"/>
        <w:tab w:val="left" w:pos="720" w:leader="none"/>
      </w:tabs>
      <w:spacing w:before="0" w:after="58"/>
      <w:jc w:val="center"/>
      <w:outlineLvl w:val="7"/>
    </w:pPr>
    <w:rPr>
      <w:i/>
      <w:sz w:val="20"/>
    </w:rPr>
  </w:style>
  <w:style w:type="paragraph" w:styleId="Heading9">
    <w:name w:val="heading 9"/>
    <w:basedOn w:val="Normal"/>
    <w:next w:val="Normal"/>
    <w:qFormat/>
    <w:pPr>
      <w:keepNext w:val="true"/>
      <w:numPr>
        <w:ilvl w:val="8"/>
        <w:numId w:val="1"/>
      </w:numPr>
      <w:tabs>
        <w:tab w:val="clear" w:pos="720"/>
        <w:tab w:val="center" w:pos="6480" w:leader="none"/>
      </w:tabs>
      <w:outlineLvl w:val="8"/>
    </w:pPr>
    <w:rPr>
      <w:b/>
      <w:sz w:val="28"/>
    </w:rPr>
  </w:style>
  <w:style w:type="character" w:styleId="WW8Num4z0">
    <w:name w:val="WW8Num4z0"/>
    <w:qFormat/>
    <w:rPr>
      <w:rFonts w:ascii="Symbol" w:hAnsi="Symbol" w:cs="Symbol"/>
    </w:rPr>
  </w:style>
  <w:style w:type="character" w:styleId="WW8Num5z0">
    <w:name w:val="WW8Num5z0"/>
    <w:qFormat/>
    <w:rPr>
      <w:b/>
    </w:rPr>
  </w:style>
  <w:style w:type="character" w:styleId="WW8Num6z0">
    <w:name w:val="WW8Num6z0"/>
    <w:qFormat/>
    <w:rPr/>
  </w:style>
  <w:style w:type="character" w:styleId="WW8Num9z0">
    <w:name w:val="WW8Num9z0"/>
    <w:qFormat/>
    <w:rPr>
      <w:rFonts w:ascii="Times New Roman" w:hAnsi="Times New Roman" w:cs="Times New Roman"/>
      <w:b w:val="false"/>
      <w:i w:val="false"/>
      <w:sz w:val="24"/>
      <w:u w:val="none"/>
    </w:rPr>
  </w:style>
  <w:style w:type="character" w:styleId="WW8Num12z0">
    <w:name w:val="WW8Num12z0"/>
    <w:qFormat/>
    <w:rPr>
      <w:rFonts w:ascii="Times New Roman" w:hAnsi="Times New Roman" w:cs="Times New Roman"/>
      <w:b w:val="false"/>
      <w:i w:val="false"/>
      <w:sz w:val="24"/>
      <w:u w:val="none"/>
    </w:rPr>
  </w:style>
  <w:style w:type="character" w:styleId="WW8Num13z0">
    <w:name w:val="WW8Num13z0"/>
    <w:qFormat/>
    <w:rPr>
      <w:rFonts w:ascii="Wingdings" w:hAnsi="Wingdings" w:cs="Wingdings"/>
    </w:rPr>
  </w:style>
  <w:style w:type="character" w:styleId="WW8Num23z0">
    <w:name w:val="WW8Num23z0"/>
    <w:qFormat/>
    <w:rPr>
      <w:b/>
    </w:rPr>
  </w:style>
  <w:style w:type="character" w:styleId="WW8Num24z0">
    <w:name w:val="WW8Num24z0"/>
    <w:qFormat/>
    <w:rPr>
      <w:rFonts w:ascii="Times New Roman" w:hAnsi="Times New Roman" w:cs="Times New Roman"/>
      <w:b w:val="false"/>
      <w:i w:val="false"/>
      <w:sz w:val="24"/>
      <w:u w:val="none"/>
    </w:rPr>
  </w:style>
  <w:style w:type="character" w:styleId="WW8Num25z0">
    <w:name w:val="WW8Num25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20" w:leader="none"/>
        <w:tab w:val="left" w:pos="240" w:leader="none"/>
        <w:tab w:val="left" w:pos="510" w:leader="none"/>
        <w:tab w:val="left" w:pos="2160" w:leader="none"/>
      </w:tabs>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QuickA">
    <w:name w:val="Quick A."/>
    <w:basedOn w:val="Normal"/>
    <w:qFormat/>
    <w:pPr>
      <w:numPr>
        <w:ilvl w:val="0"/>
        <w:numId w:val="7"/>
      </w:numPr>
    </w:pPr>
    <w:rPr/>
  </w:style>
  <w:style w:type="paragraph" w:styleId="BodyTextIndent">
    <w:name w:val="Body Text Indent"/>
    <w:basedOn w:val="Normal"/>
    <w:pPr>
      <w:tabs>
        <w:tab w:val="clear" w:pos="720"/>
        <w:tab w:val="left" w:pos="-1440" w:leader="none"/>
        <w:tab w:val="left" w:pos="-720" w:leader="none"/>
        <w:tab w:val="left" w:pos="-120" w:leader="none"/>
        <w:tab w:val="left" w:pos="240" w:leader="none"/>
        <w:tab w:val="left" w:pos="510" w:leader="none"/>
        <w:tab w:val="left" w:pos="2160" w:leader="none"/>
      </w:tabs>
      <w:ind w:hanging="270" w:start="510" w:end="0"/>
    </w:pPr>
    <w:rPr>
      <w:sz w:val="20"/>
    </w:rPr>
  </w:style>
  <w:style w:type="paragraph" w:styleId="BodyText2">
    <w:name w:val="Body Text 2"/>
    <w:basedOn w:val="Normal"/>
    <w:qFormat/>
    <w:pPr>
      <w:tabs>
        <w:tab w:val="left" w:pos="-1440" w:leader="none"/>
        <w:tab w:val="left" w:pos="-720" w:leader="none"/>
        <w:tab w:val="left" w:pos="-120" w:leader="none"/>
        <w:tab w:val="left" w:pos="720" w:leader="none"/>
      </w:tabs>
      <w:spacing w:before="0" w:after="58"/>
    </w:pPr>
    <w:rPr>
      <w:b/>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2000-10-22T20:00:00Z</dcterms:created>
  <dc:creator>James D. Kopp</dc:creator>
  <dc:description/>
  <dc:language>en-CA</dc:language>
  <cp:lastModifiedBy>Ben Rogers</cp:lastModifiedBy>
  <cp:lastPrinted>2000-10-24T08:18:00Z</cp:lastPrinted>
  <dcterms:modified xsi:type="dcterms:W3CDTF">2000-10-24T17:40:00Z</dcterms:modified>
  <cp:revision>67</cp:revision>
  <dc:subject/>
  <dc:title>Draft</dc:title>
</cp:coreProperties>
</file>