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40"/>
        </w:rPr>
      </w:pPr>
      <w:r>
        <w:rPr>
          <w:b/>
          <w:sz w:val="40"/>
        </w:rPr>
        <w:tab/>
        <w:tab/>
      </w:r>
    </w:p>
    <w:p>
      <w:pPr>
        <w:pStyle w:val="Normal"/>
        <w:rPr>
          <w:b/>
          <w:sz w:val="40"/>
        </w:rPr>
      </w:pPr>
      <w:r>
        <w:rPr>
          <w:b/>
          <w:sz w:val="40"/>
        </w:rPr>
      </w:r>
    </w:p>
    <w:p>
      <w:pPr>
        <w:pStyle w:val="Heading4"/>
        <w:ind w:hanging="0" w:start="0"/>
        <w:rPr/>
      </w:pPr>
      <w:r>
        <w:rPr/>
        <w:t>PROJECT WHEAT</w:t>
      </w:r>
    </w:p>
    <w:p>
      <w:pPr>
        <w:pStyle w:val="Heading4"/>
        <w:ind w:hanging="0" w:start="0"/>
        <w:rPr/>
      </w:pPr>
      <w:r>
        <w:rPr/>
        <w:t>Document and Information Request</w:t>
      </w:r>
    </w:p>
    <w:p>
      <w:pPr>
        <w:pStyle w:val="Normal"/>
        <w:numPr>
          <w:ilvl w:val="0"/>
          <w:numId w:val="0"/>
        </w:numPr>
        <w:tabs>
          <w:tab w:val="clear" w:pos="720"/>
          <w:tab w:val="center" w:pos="6480" w:leader="none"/>
        </w:tabs>
        <w:outlineLvl w:val="0"/>
        <w:rPr>
          <w:b/>
          <w:sz w:val="40"/>
        </w:rPr>
      </w:pPr>
      <w:r>
        <w:rPr>
          <w:b/>
          <w:sz w:val="40"/>
        </w:rPr>
      </w:r>
    </w:p>
    <w:p>
      <w:pPr>
        <w:pStyle w:val="Normal"/>
        <w:numPr>
          <w:ilvl w:val="0"/>
          <w:numId w:val="0"/>
        </w:numPr>
        <w:tabs>
          <w:tab w:val="clear" w:pos="720"/>
          <w:tab w:val="center" w:pos="6480" w:leader="none"/>
        </w:tabs>
        <w:jc w:val="center"/>
        <w:outlineLvl w:val="0"/>
        <w:rPr>
          <w:b/>
          <w:sz w:val="40"/>
        </w:rPr>
      </w:pPr>
      <w:r>
        <w:rPr>
          <w:b/>
          <w:sz w:val="40"/>
        </w:rPr>
        <w:t>For</w:t>
      </w:r>
    </w:p>
    <w:p>
      <w:pPr>
        <w:pStyle w:val="Normal"/>
        <w:numPr>
          <w:ilvl w:val="0"/>
          <w:numId w:val="0"/>
        </w:numPr>
        <w:tabs>
          <w:tab w:val="clear" w:pos="720"/>
          <w:tab w:val="center" w:pos="6480" w:leader="none"/>
        </w:tabs>
        <w:jc w:val="center"/>
        <w:outlineLvl w:val="0"/>
        <w:rPr>
          <w:b/>
          <w:sz w:val="40"/>
        </w:rPr>
      </w:pPr>
      <w:r>
        <w:rPr>
          <w:b/>
          <w:sz w:val="40"/>
        </w:rPr>
        <w:t>Enron</w:t>
      </w:r>
    </w:p>
    <w:p>
      <w:pPr>
        <w:pStyle w:val="Normal"/>
        <w:numPr>
          <w:ilvl w:val="0"/>
          <w:numId w:val="0"/>
        </w:numPr>
        <w:tabs>
          <w:tab w:val="clear" w:pos="720"/>
          <w:tab w:val="center" w:pos="6480" w:leader="none"/>
        </w:tabs>
        <w:jc w:val="center"/>
        <w:outlineLvl w:val="0"/>
        <w:rPr>
          <w:b/>
          <w:sz w:val="40"/>
        </w:rPr>
      </w:pPr>
      <w:r>
        <w:rPr>
          <w:b/>
          <w:sz w:val="40"/>
        </w:rPr>
        <w:t>Wheatland Facility</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Susan Flanagan</w:t>
      </w:r>
    </w:p>
    <w:p>
      <w:pPr>
        <w:pStyle w:val="Normal"/>
        <w:rPr>
          <w:b/>
          <w:sz w:val="28"/>
        </w:rPr>
      </w:pPr>
      <w:r>
        <w:rPr>
          <w:b/>
          <w:sz w:val="28"/>
        </w:rPr>
        <w:t>Vice President of M&amp;A</w:t>
      </w:r>
    </w:p>
    <w:p>
      <w:pPr>
        <w:pStyle w:val="Normal"/>
        <w:rPr>
          <w:b/>
          <w:sz w:val="28"/>
        </w:rPr>
      </w:pPr>
      <w:r>
        <w:rPr>
          <w:b/>
          <w:sz w:val="28"/>
        </w:rPr>
        <w:t>DPL Inc.</w:t>
      </w:r>
    </w:p>
    <w:p>
      <w:pPr>
        <w:pStyle w:val="Normal"/>
        <w:rPr>
          <w:b/>
          <w:sz w:val="28"/>
        </w:rPr>
      </w:pPr>
      <w:r>
        <w:rPr>
          <w:b/>
          <w:sz w:val="28"/>
        </w:rPr>
        <w:t>(937) 258-5506</w:t>
      </w:r>
    </w:p>
    <w:p>
      <w:pPr>
        <w:pStyle w:val="Normal"/>
        <w:rPr>
          <w:b/>
          <w:sz w:val="28"/>
        </w:rPr>
      </w:pPr>
      <w:r>
        <w:rPr>
          <w:b/>
          <w:sz w:val="28"/>
        </w:rPr>
        <w:t>Fax (937) 259-7386</w:t>
      </w:r>
    </w:p>
    <w:p>
      <w:pPr>
        <w:pStyle w:val="Normal"/>
        <w:rPr>
          <w:b/>
          <w:sz w:val="28"/>
        </w:rPr>
      </w:pPr>
      <w:r>
        <w:rPr>
          <w:b/>
          <w:sz w:val="28"/>
        </w:rPr>
        <w:t>Email DPLFLAN@Aol.com</w:t>
      </w:r>
      <w:r>
        <w:br w:type="page"/>
      </w:r>
    </w:p>
    <w:p>
      <w:pPr>
        <w:pStyle w:val="Heading2"/>
        <w:numPr>
          <w:ilvl w:val="0"/>
          <w:numId w:val="0"/>
        </w:numPr>
        <w:tabs>
          <w:tab w:val="clear" w:pos="6480"/>
        </w:tabs>
        <w:rPr>
          <w:b/>
          <w:sz w:val="28"/>
        </w:rPr>
      </w:pPr>
      <w:r>
        <w:rPr>
          <w:b/>
          <w:sz w:val="28"/>
        </w:rPr>
      </w:r>
    </w:p>
    <w:p>
      <w:pPr>
        <w:sectPr>
          <w:headerReference w:type="default" r:id="rId2"/>
          <w:footerReference w:type="default" r:id="rId3"/>
          <w:type w:val="nextPage"/>
          <w:pgSz w:orient="landscape" w:w="15840" w:h="12240"/>
          <w:pgMar w:left="1440" w:right="1440" w:gutter="0" w:header="720" w:top="1440" w:footer="720" w:bottom="1440"/>
          <w:pgNumType w:fmt="decimal"/>
          <w:formProt w:val="false"/>
          <w:textDirection w:val="lrTb"/>
          <w:docGrid w:type="default" w:linePitch="360" w:charSpace="0"/>
        </w:sectPr>
      </w:pPr>
    </w:p>
    <w:tbl>
      <w:tblPr>
        <w:tblW w:w="13770" w:type="dxa"/>
        <w:jc w:val="start"/>
        <w:tblInd w:w="-240" w:type="dxa"/>
        <w:tblLayout w:type="fixed"/>
        <w:tblCellMar>
          <w:top w:w="0" w:type="dxa"/>
          <w:start w:w="120" w:type="dxa"/>
          <w:bottom w:w="0" w:type="dxa"/>
          <w:end w:w="120" w:type="dxa"/>
        </w:tblCellMar>
      </w:tblPr>
      <w:tblGrid>
        <w:gridCol w:w="540"/>
        <w:gridCol w:w="5220"/>
        <w:gridCol w:w="1260"/>
        <w:gridCol w:w="1170"/>
        <w:gridCol w:w="1350"/>
        <w:gridCol w:w="4230"/>
      </w:tblGrid>
      <w:tr>
        <w:trPr>
          <w:tblHeader w:val="true"/>
        </w:trPr>
        <w:tc>
          <w:tcPr>
            <w:tcW w:w="54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2"/>
              </w:numPr>
              <w:jc w:val="center"/>
              <w:rPr>
                <w:b/>
                <w:sz w:val="20"/>
              </w:rPr>
            </w:pPr>
            <w:r>
              <w:rPr>
                <w:b/>
                <w:sz w:val="20"/>
              </w:rPr>
              <w:t>`</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Management/General</w:t>
            </w:r>
          </w:p>
        </w:tc>
        <w:tc>
          <w:tcPr>
            <w:tcW w:w="126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170" w:type="dxa"/>
            <w:tcBorders>
              <w:top w:val="single" w:sz="8" w:space="0" w:color="000000"/>
              <w:start w:val="single" w:sz="8"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35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23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rPr>
            </w:pPr>
            <w:r>
              <w:rPr>
                <w:b/>
              </w:rPr>
              <w:t>Comments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copies of all contracts and sub-contracts (including all contracts and subcontracts that are currently being negotiated) for the Wheatland facility, including but not limited to, Enron contracts with OEC, interconnection agreements, fuel contracts, maintenance/service contracts, water supply and makeup contracts, etc.</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All contracts that will remain in place are located in DealBench.  We envision that the O&amp;M Contract w/OEC will be terminated.  See DealBench Doc. # 01.02.10</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Westinghouse Warranty Documents.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See DealBench Doc # 01.03.02.03</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describe the control area and scheduling services provided by Enron affiliate under separate contract.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lease between Lake Acquisition and West Fork. In addition, provide any drawings, maps and photos associated w/ the lake.</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Lease is in DealBench. Enron has provided these drawings.</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 “Easements / Right of Ways”.</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Enron provided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Document 01.02.23.10 “Carnahaw Easement”.</w:t>
            </w:r>
          </w:p>
        </w:tc>
        <w:tc>
          <w:tcPr>
            <w:tcW w:w="126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Please provide a copy of the survey by Matthew W. Wannesmuehler of Benardin Lochmueller &amp; Associates”.</w:t>
            </w:r>
          </w:p>
        </w:tc>
        <w:tc>
          <w:tcPr>
            <w:tcW w:w="1260" w:type="dxa"/>
            <w:tcBorders>
              <w:top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Enron provided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Document 01.03.02 “Westinghouse Proposals”.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Westinghouse will not grant us permission to release.  Doc. 01.03.02.03 is the only Westinghouse contract available.</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current Salary and bonus structure, resumes and employment contracts for existing site personnel</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b/>
              </w:rPr>
            </w:pPr>
            <w:r>
              <w:rPr>
                <w:sz w:val="20"/>
              </w:rPr>
              <w:t>To Discuss with Company</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b/>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documents regarding leases, ownership, options, etc. for the property adjacent to the facility.</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 documents exist. (other than the Contract of Sale for the Meuser property (which is on DealBench)) which entitle or require West Fork to purchase any adjacent property.  All contracts pursuant to which the plant site was acquired are also on DealBench..</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list any litigation or disputes that involve or are a result of the site development/operation or other litigation pending involving the LLCs.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These are listed in the Purchase and Sale schedules in DealBench.  No disputes exist.</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supply details of related party transactions/agreements pertaining to the Wheatland facility including administrative support, gas supply, electric supply and dispatch, environmental services, legal support, technical support, etc.</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No written agreements with related parties (i) are currently in place or (ii) will survive closing</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breakdown of all O&amp;M costs (current year and 3 year forecast) and the methodology used to develop the forecast. Provide any scheduled capital expenditures over the next 3 years.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Will provide ’00 Actuals and ’01 Budget.  No maintenance CAPEX is currently planned.</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Provide a schedule of all employee training completed to date and scheduled for the next year.</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 xml:space="preserve">Formal training for the Operations Technicians, Plant Supervisor, Plant Manager include Balance of plant Training through TriTech (1 week), SWPC (2 weeks) engine/controls, electrical safety operations, and Enron safety orientation. The Manager and Supervisor attended Maintimizer. The Administrative Clerk attended SAP. 2001 future training plans, which include Westation hardware, software and historian. </w:t>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IPALCO and Cinergy open access tariffs filed w/ FERC and any supporting documentation indicating status.</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Normal"/>
              <w:spacing w:lineRule="atLeast" w:line="240"/>
              <w:jc w:val="center"/>
              <w:rPr>
                <w:color w:val="000000"/>
                <w:sz w:val="20"/>
                <w:lang w:eastAsia="en-US"/>
              </w:rPr>
            </w:pPr>
            <w:r>
              <w:rPr>
                <w:color w:val="000000"/>
                <w:sz w:val="20"/>
                <w:lang w:eastAsia="en-US"/>
              </w:rPr>
              <w:t>Please go to this website:</w:t>
            </w:r>
          </w:p>
          <w:p>
            <w:pPr>
              <w:pStyle w:val="Normal"/>
              <w:spacing w:lineRule="atLeast" w:line="240"/>
              <w:jc w:val="center"/>
              <w:rPr>
                <w:color w:val="000000"/>
                <w:sz w:val="20"/>
                <w:lang w:eastAsia="en-US"/>
              </w:rPr>
            </w:pPr>
            <w:r>
              <w:rPr>
                <w:color w:val="000000"/>
                <w:sz w:val="20"/>
                <w:lang w:eastAsia="en-US"/>
              </w:rPr>
              <w:t>http://oasis.ecar.org/OASIS/NODE</w:t>
            </w:r>
          </w:p>
          <w:p>
            <w:pPr>
              <w:pStyle w:val="QuickA"/>
              <w:numPr>
                <w:ilvl w:val="0"/>
                <w:numId w:val="0"/>
              </w:numPr>
              <w:ind w:hanging="0" w:start="0"/>
              <w:jc w:val="center"/>
              <w:rPr>
                <w:color w:val="000000"/>
                <w:sz w:val="20"/>
                <w:lang w:eastAsia="en-US"/>
              </w:rPr>
            </w:pPr>
            <w:r>
              <w:rPr>
                <w:color w:val="000000"/>
                <w:sz w:val="20"/>
                <w:lang w:eastAsia="en-US"/>
              </w:rPr>
            </w:r>
          </w:p>
        </w:tc>
      </w:tr>
      <w:tr>
        <w:trPr/>
        <w:tc>
          <w:tcPr>
            <w:tcW w:w="54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2"/>
              </w:numPr>
              <w:snapToGrid w:val="false"/>
              <w:jc w:val="center"/>
              <w:rPr>
                <w:sz w:val="20"/>
              </w:rPr>
            </w:pPr>
            <w:r>
              <w:rPr>
                <w:sz w:val="20"/>
              </w:rPr>
            </w:r>
          </w:p>
        </w:tc>
        <w:tc>
          <w:tcPr>
            <w:tcW w:w="522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any other power agreement for the facility not included in the Deal Bench data room.</w:t>
            </w:r>
          </w:p>
        </w:tc>
        <w:tc>
          <w:tcPr>
            <w:tcW w:w="1260" w:type="dxa"/>
            <w:tcBorders>
              <w:top w:val="single" w:sz="6" w:space="0" w:color="000000"/>
              <w:start w:val="single" w:sz="6" w:space="0" w:color="000000"/>
              <w:bottom w:val="single" w:sz="6" w:space="0" w:color="000000"/>
              <w:end w:val="single" w:sz="4" w:space="0" w:color="000000"/>
            </w:tcBorders>
            <w:vAlign w:val="center"/>
          </w:tcPr>
          <w:p>
            <w:pPr>
              <w:pStyle w:val="QuickA"/>
              <w:numPr>
                <w:ilvl w:val="0"/>
                <w:numId w:val="0"/>
              </w:numPr>
              <w:ind w:hanging="0" w:start="0"/>
              <w:jc w:val="center"/>
              <w:rPr>
                <w:sz w:val="20"/>
              </w:rPr>
            </w:pPr>
            <w:r>
              <w:rPr>
                <w:sz w:val="20"/>
              </w:rPr>
              <w:t>10/18/00</w:t>
            </w:r>
          </w:p>
        </w:tc>
        <w:tc>
          <w:tcPr>
            <w:tcW w:w="1170" w:type="dxa"/>
            <w:tcBorders>
              <w:top w:val="single" w:sz="6" w:space="0" w:color="000000"/>
              <w:start w:val="single" w:sz="4" w:space="0" w:color="000000"/>
              <w:bottom w:val="single" w:sz="6" w:space="0" w:color="000000"/>
              <w:end w:val="single" w:sz="4" w:space="0" w:color="000000"/>
            </w:tcBorders>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35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230" w:type="dxa"/>
            <w:tcBorders>
              <w:top w:val="single" w:sz="6" w:space="0" w:color="000000"/>
              <w:start w:val="single" w:sz="4" w:space="0" w:color="000000"/>
              <w:bottom w:val="single" w:sz="6" w:space="0" w:color="000000"/>
              <w:end w:val="single" w:sz="6" w:space="0" w:color="000000"/>
            </w:tcBorders>
            <w:vAlign w:val="center"/>
          </w:tcPr>
          <w:p>
            <w:pPr>
              <w:pStyle w:val="QuickA"/>
              <w:numPr>
                <w:ilvl w:val="0"/>
                <w:numId w:val="0"/>
              </w:numPr>
              <w:ind w:hanging="0" w:start="0"/>
              <w:jc w:val="center"/>
              <w:rPr>
                <w:sz w:val="20"/>
              </w:rPr>
            </w:pPr>
            <w:r>
              <w:rPr>
                <w:sz w:val="20"/>
              </w:rPr>
              <w:t>There are none.</w:t>
            </w:r>
          </w:p>
        </w:tc>
      </w:tr>
    </w:tbl>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6"/>
              </w:numPr>
              <w:snapToGrid w:val="false"/>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Technical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sz w:val="20"/>
              </w:rPr>
            </w:pPr>
            <w:r>
              <w:rPr>
                <w:b/>
                <w:sz w:val="20"/>
              </w:rPr>
              <w:t>C</w:t>
            </w:r>
            <w:r>
              <w:rPr>
                <w:b/>
              </w:rPr>
              <w:t>omments</w:t>
            </w:r>
          </w:p>
        </w:tc>
      </w:tr>
      <w:tr>
        <w:trPr/>
        <w:tc>
          <w:tcPr>
            <w:tcW w:w="540" w:type="dxa"/>
            <w:tcBorders>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scheduled maintenance for the next three (3) years.</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maintenance is a function of starts and/or run hours.  Other than planned near-term maintenance, nothing else is planned.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list of Westinghouse modifications or upgrades for the 501D’s.</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List of modifications/upgrades that Enron has incorporated, or anticipates incorporating, into the facility.</w:t>
            </w:r>
          </w:p>
          <w:p>
            <w:pPr>
              <w:pStyle w:val="Normal"/>
              <w:numPr>
                <w:ilvl w:val="0"/>
                <w:numId w:val="5"/>
              </w:numPr>
              <w:tabs>
                <w:tab w:val="clear" w:pos="720"/>
                <w:tab w:val="left" w:pos="-1440" w:leader="none"/>
                <w:tab w:val="left" w:pos="-720" w:leader="none"/>
                <w:tab w:val="left" w:pos="-120" w:leader="none"/>
                <w:tab w:val="left" w:pos="240" w:leader="none"/>
                <w:tab w:val="left" w:pos="510" w:leader="none"/>
                <w:tab w:val="left" w:pos="2160" w:leader="none"/>
              </w:tabs>
              <w:spacing w:before="0" w:after="58"/>
              <w:ind w:hanging="360" w:start="600" w:end="0"/>
              <w:rPr>
                <w:sz w:val="20"/>
              </w:rPr>
            </w:pPr>
            <w:r>
              <w:rPr>
                <w:sz w:val="20"/>
              </w:rPr>
              <w:t xml:space="preserve">ENRON’s plans for mitigating any turbine blade cracking issues associated w/ these machines. </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We are modifying the Generator Bearings pursuant to Westinghouse modifications, which are fleet wide modifications.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QuickA"/>
              <w:numPr>
                <w:ilvl w:val="0"/>
                <w:numId w:val="0"/>
              </w:numPr>
              <w:ind w:hanging="0" w:start="0"/>
              <w:rPr>
                <w:sz w:val="20"/>
              </w:rPr>
            </w:pPr>
            <w:r>
              <w:rPr>
                <w:sz w:val="20"/>
              </w:rPr>
              <w:t>Please provide any studies conducted toward the expansion of the facility for more simple cycle gas turbines, or toward the conversion of the facility to a combined cycle plant. Please include the Technical and Economic backup.</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Designed to facilitate CCGT, with the appropriate underground interferences, spacing and water issues analyzed. Nothing materially done in terms of studies or actual documentation.  Also, have not done full aquifer analysis testing and water consumption analysis.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Westinghouse bulletins related to the Wheatland facility.</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Not able to provide due to Westinghouse confidentiality issues.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“Engineering Drawings – Construction Drawings and Plot Plans” and all one-line diagrams of the Power Block and Switchyard.</w:t>
            </w:r>
          </w:p>
        </w:tc>
        <w:tc>
          <w:tcPr>
            <w:tcW w:w="1170" w:type="dxa"/>
            <w:tcBorders>
              <w:top w:val="single" w:sz="6" w:space="0" w:color="000000"/>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Enron already provided this information.</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startup curves for cold, warm and hot starts for all four units.</w:t>
            </w:r>
          </w:p>
        </w:tc>
        <w:tc>
          <w:tcPr>
            <w:tcW w:w="1170" w:type="dxa"/>
            <w:tcBorders>
              <w:top w:val="single" w:sz="2" w:space="0" w:color="000000"/>
              <w:start w:val="single" w:sz="4" w:space="0" w:color="000000"/>
              <w:bottom w:val="single" w:sz="2" w:space="0" w:color="000000"/>
              <w:end w:val="single" w:sz="2"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04.01.03 G</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explaining the apparent difference in the output and performance of Unit 3.</w:t>
            </w:r>
          </w:p>
        </w:tc>
        <w:tc>
          <w:tcPr>
            <w:tcW w:w="1170" w:type="dxa"/>
            <w:tcBorders>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10/17/00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Unit 3 was tested at low ambient conditions, which precluded full power operation due to turbine mechanical limits. Since the site passed its overall performance test.  This unit was not re-tested.</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Oct. 2000 maintenance outage work scope and final outage report.</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 by Enron – Attached/Fax.</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explain the gas pressure related issues identified in the June Operation Report from C. Norris to M. Robbins dated July 10, 2000.</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Initially, the plant manager had concern for the low pressures, but ultimately the pressure never got low enough to have any real concern.</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Please provide your procedure for storing and handling “critical” spare parts (i.e.; WDPF boards).  Provide your definition for classifying parts as “critical” and your list of “critical” spare parts.  </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Spare parts are delivered from SWPC Orlando.  The parts are inventoried and reconciled against to original purchase order.  They are inspected to the best ability of the Technicians.  The parts are listed in the system and stored in a specified location.  Currently all spare cards are kept in one particular cabinet.</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following gas pipeline information: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Points of gas receipt used for the site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Has the interruptible contract caused any supply disruptions or problems w/ lack of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The root cause for the units being inoperable due to pressure</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existing gas contracts be assigned to purchaser?</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 xml:space="preserve">How does the pipeline treat hourly and daily gas use imbalances? </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notice is needed for unit startup and shut down?</w:t>
            </w:r>
          </w:p>
          <w:p>
            <w:pPr>
              <w:pStyle w:val="Normal"/>
              <w:numPr>
                <w:ilvl w:val="0"/>
                <w:numId w:val="8"/>
              </w:numPr>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Can the plant operate w/o a gas nomination?</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The Wheatland interconnect is off of Midwestern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Supply disruptions have not been encountered.</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 xml:space="preserve">Never has happened (Can run between 500-900 psi).  The units were never inoperable.  The pressure was noted as low in a proactive manner.  Delivery pressure to the GT is 350 PSI.  </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Gas transport documents are in DealBench and will be assigned with the sale.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 xml:space="preserve"> </w:t>
            </w:r>
            <w:r>
              <w:rPr>
                <w:sz w:val="20"/>
              </w:rPr>
              <w:t>Doesn’t have to be in balance hourly.  The pipeline is a daily imbalance.</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30-minute ramp up and minimal notice to shut down.</w:t>
            </w:r>
          </w:p>
          <w:p>
            <w:pPr>
              <w:pStyle w:val="Normal"/>
              <w:numPr>
                <w:ilvl w:val="0"/>
                <w:numId w:val="3"/>
              </w:numPr>
              <w:tabs>
                <w:tab w:val="left" w:pos="-1440" w:leader="none"/>
                <w:tab w:val="left" w:pos="-720" w:leader="none"/>
                <w:tab w:val="left" w:pos="-120" w:leader="none"/>
                <w:tab w:val="left" w:pos="720" w:leader="none"/>
              </w:tabs>
              <w:spacing w:before="0" w:after="58"/>
              <w:rPr>
                <w:sz w:val="20"/>
              </w:rPr>
            </w:pPr>
            <w:r>
              <w:rPr>
                <w:sz w:val="20"/>
              </w:rPr>
              <w:t>Midwestern requests that a nomination be provided, but we have operated with out one.</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pipeline capacity is available for the facility?</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b/>
                <w:sz w:val="20"/>
              </w:rPr>
            </w:pPr>
            <w:r>
              <w:rPr>
                <w:sz w:val="20"/>
              </w:rPr>
              <w:t>The max flow rate is approximately 190,000MMBtu/day or 7,900 MMBtu/hr.  Currently at 500 MWs and 11.5 heat rate is approximately 5,750 MMBtu/hr.</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QuickA"/>
              <w:numPr>
                <w:ilvl w:val="0"/>
                <w:numId w:val="6"/>
              </w:numPr>
              <w:snapToGrid w:val="false"/>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Were other pipelines considered for use during the facility planning and development stages? Why were the other pipelines not used (please provide supporting data)?</w:t>
            </w:r>
          </w:p>
        </w:tc>
        <w:tc>
          <w:tcPr>
            <w:tcW w:w="1170" w:type="dxa"/>
            <w:tcBorders>
              <w:top w:val="single" w:sz="6" w:space="0" w:color="000000"/>
              <w:start w:val="single" w:sz="4" w:space="0" w:color="000000"/>
              <w:bottom w:val="single" w:sz="6" w:space="0" w:color="000000"/>
              <w:end w:val="single" w:sz="6" w:space="0" w:color="000000"/>
            </w:tcBorders>
          </w:tcPr>
          <w:p>
            <w:pPr>
              <w:pStyle w:val="QuickA"/>
              <w:numPr>
                <w:ilvl w:val="0"/>
                <w:numId w:val="0"/>
              </w:numPr>
              <w:snapToGrid w:val="false"/>
              <w:ind w:hanging="0" w:start="0"/>
              <w:jc w:val="center"/>
              <w:rPr>
                <w:sz w:val="20"/>
              </w:rPr>
            </w:pPr>
            <w:r>
              <w:rPr>
                <w:sz w:val="20"/>
              </w:rPr>
            </w:r>
          </w:p>
          <w:p>
            <w:pPr>
              <w:pStyle w:val="QuickA"/>
              <w:numPr>
                <w:ilvl w:val="0"/>
                <w:numId w:val="0"/>
              </w:numPr>
              <w:ind w:hanging="0" w:start="0"/>
              <w:jc w:val="center"/>
              <w:rPr>
                <w:sz w:val="20"/>
              </w:rPr>
            </w:pPr>
            <w:r>
              <w:rPr>
                <w:sz w:val="20"/>
              </w:rPr>
              <w:t>10/18/00</w:t>
            </w:r>
          </w:p>
        </w:tc>
        <w:tc>
          <w:tcPr>
            <w:tcW w:w="108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No, Enron looked for the most logical spot, in terms of gas and power intersections and back-haul opportunities from liquid point to the Chicago market hub.  For this site, this is the only pipeline to use.</w:t>
            </w:r>
          </w:p>
        </w:tc>
      </w:tr>
    </w:tbl>
    <w:p>
      <w:pPr>
        <w:pStyle w:val="Header"/>
        <w:tabs>
          <w:tab w:val="clear" w:pos="4320"/>
          <w:tab w:val="clear" w:pos="8640"/>
        </w:tabs>
        <w:rPr/>
      </w:pPr>
      <w:r>
        <w:rPr/>
      </w:r>
      <w:r>
        <w:br w:type="page"/>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b/>
                <w:sz w:val="20"/>
              </w:rPr>
            </w:pPr>
            <w:r>
              <w:rPr>
                <w:b/>
                <w:sz w:val="20"/>
              </w:rPr>
              <w:t>2.0</w:t>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Technical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8" w:space="0" w:color="000000"/>
              <w:bottom w:val="single" w:sz="8" w:space="0" w:color="000000"/>
              <w:end w:val="single" w:sz="4"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end="1590"/>
              <w:jc w:val="center"/>
              <w:rPr>
                <w:b/>
              </w:rPr>
            </w:pPr>
            <w:r>
              <w:rPr>
                <w:b/>
              </w:rPr>
              <w:t>Comments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720"/>
                <w:tab w:val="left" w:pos="-1440" w:leader="none"/>
                <w:tab w:val="left" w:pos="-720" w:leader="none"/>
                <w:tab w:val="left" w:pos="-120" w:leader="none"/>
                <w:tab w:val="left" w:pos="330" w:leader="none"/>
                <w:tab w:val="left" w:pos="600" w:leader="none"/>
                <w:tab w:val="left" w:pos="2160" w:leader="none"/>
              </w:tabs>
              <w:spacing w:before="0" w:after="58"/>
              <w:ind w:start="-120" w:end="-120"/>
              <w:rPr>
                <w:sz w:val="20"/>
              </w:rPr>
            </w:pPr>
            <w:r>
              <w:rPr>
                <w:sz w:val="20"/>
              </w:rPr>
              <w:t>2.14</w:t>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follow-up information related to the turbine vibration problem and the results of actions taken on the recent outage.</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10/24/00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 w:val="left" w:pos="4110" w:leader="none"/>
                <w:tab w:val="left" w:pos="4290" w:leader="none"/>
                <w:tab w:val="left" w:pos="4650" w:leader="none"/>
                <w:tab w:val="left" w:pos="4980" w:leader="none"/>
              </w:tabs>
              <w:spacing w:before="0" w:after="58"/>
              <w:ind w:end="510"/>
              <w:rPr>
                <w:sz w:val="20"/>
              </w:rPr>
            </w:pPr>
            <w:r>
              <w:rPr>
                <w:color w:val="000000"/>
                <w:sz w:val="20"/>
                <w:lang w:eastAsia="en-US"/>
              </w:rPr>
              <w:t>The Westinghouse engineers corrected the problem to the point that it was below alarm limits. However, Westinghouse has committed to come back to the plant in January.</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start="-120" w:end="0"/>
              <w:rPr>
                <w:sz w:val="20"/>
              </w:rPr>
            </w:pPr>
            <w:r>
              <w:rPr>
                <w:sz w:val="20"/>
              </w:rPr>
              <w:t>2.15</w:t>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much gas capacity does Midwestern have available for the Wheatland facility?</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10/24/00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BodyText3"/>
              <w:rPr/>
            </w:pPr>
            <w:r>
              <w:rPr/>
              <w:t>The maximum physical capacity of the interconnect between the plant and Midwestern is 190,000 mmbtu/day or about 7900/hour.  Our current transportation contract maximum is 125,000/day (first 85,000/day discounted) because with current plant size the maximum hourly flow rate is 5500/hour.  Additional Interruptible transport from Pipeline could easily be granted.</w:t>
            </w:r>
          </w:p>
        </w:tc>
      </w:tr>
      <w:tr>
        <w:trPr>
          <w:trHeight w:val="363" w:hRule="atLeast"/>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start="-120" w:end="0"/>
              <w:rPr>
                <w:sz w:val="20"/>
              </w:rPr>
            </w:pPr>
            <w:r>
              <w:rPr>
                <w:sz w:val="20"/>
              </w:rPr>
              <w:t>2.16</w:t>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How are the daily balancing issues for the site managed with Midwestern?</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10/24/00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BodyText3"/>
              <w:rPr/>
            </w:pPr>
            <w:r>
              <w:rPr/>
              <w:t>All daily imbalances hit the OBA (Operational Balancing Agreement) at the plant site.  There is no charge for the OBA, or for the daily imbalances.  Imbalances are cumulative for the month and are cashed-out at each month end in accordance to Midwestern tariff provisions.</w:t>
            </w:r>
          </w:p>
          <w:p>
            <w:pPr>
              <w:pStyle w:val="Normal"/>
              <w:spacing w:lineRule="atLeast" w:line="240"/>
              <w:rPr>
                <w:color w:val="000000"/>
                <w:sz w:val="20"/>
                <w:lang w:eastAsia="en-US"/>
              </w:rPr>
            </w:pPr>
            <w:r>
              <w:rPr>
                <w:color w:val="000000"/>
                <w:sz w:val="20"/>
                <w:lang w:eastAsia="en-US"/>
              </w:rPr>
              <w:t>Per Midwestern, holder of OBA is asked to minimize size of imbalance in accordance to integrity off Midwestern's system.  If a daily imbalance, or  cumulative imbalance</w:t>
            </w:r>
          </w:p>
          <w:p>
            <w:pPr>
              <w:pStyle w:val="Normal"/>
              <w:spacing w:lineRule="atLeast" w:line="240"/>
              <w:rPr>
                <w:sz w:val="20"/>
              </w:rPr>
            </w:pPr>
            <w:r>
              <w:rPr>
                <w:color w:val="000000"/>
                <w:sz w:val="20"/>
                <w:lang w:eastAsia="en-US"/>
              </w:rPr>
              <w:t>begins to threaten integrity of system, Midwestern can call and ask you to reduce imbalance.  After that warning the pipe can issue a point specific OFO, which could lead to penalties for failure to minimize any imbalances.  Since inception of plant 5/00 - we have never encountered any balancing problems/penalties.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start="-120" w:end="0"/>
              <w:rPr>
                <w:sz w:val="20"/>
              </w:rPr>
            </w:pPr>
            <w:r>
              <w:rPr>
                <w:sz w:val="20"/>
              </w:rPr>
              <w:t>2.17</w:t>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Permit to Construct for the facility</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10/24/00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 by Enron – Attached/Fax.</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tbl>
      <w:tblPr>
        <w:tblW w:w="14490" w:type="dxa"/>
        <w:jc w:val="start"/>
        <w:tblInd w:w="-240" w:type="dxa"/>
        <w:tblLayout w:type="fixed"/>
        <w:tblCellMar>
          <w:top w:w="0" w:type="dxa"/>
          <w:start w:w="120" w:type="dxa"/>
          <w:bottom w:w="0" w:type="dxa"/>
          <w:end w:w="120" w:type="dxa"/>
        </w:tblCellMar>
      </w:tblPr>
      <w:tblGrid>
        <w:gridCol w:w="540"/>
        <w:gridCol w:w="5310"/>
        <w:gridCol w:w="1170"/>
        <w:gridCol w:w="1080"/>
        <w:gridCol w:w="1440"/>
        <w:gridCol w:w="4950"/>
      </w:tblGrid>
      <w:tr>
        <w:trPr>
          <w:tblHeader w:val="true"/>
        </w:trPr>
        <w:tc>
          <w:tcPr>
            <w:tcW w:w="540" w:type="dxa"/>
            <w:tcBorders>
              <w:top w:val="single" w:sz="8" w:space="0" w:color="000000"/>
              <w:start w:val="single" w:sz="8" w:space="0" w:color="000000"/>
              <w:bottom w:val="single" w:sz="8" w:space="0" w:color="000000"/>
              <w:end w:val="single" w:sz="8" w:space="0" w:color="000000"/>
            </w:tcBorders>
            <w:shd w:fill="F2F2F2" w:val="clear"/>
            <w:vAlign w:val="bottom"/>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b/>
                <w:sz w:val="20"/>
              </w:rPr>
            </w:pPr>
            <w:r>
              <w:rPr>
                <w:b/>
                <w:sz w:val="20"/>
              </w:rPr>
            </w:r>
          </w:p>
        </w:tc>
        <w:tc>
          <w:tcPr>
            <w:tcW w:w="531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Financial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8" w:space="0" w:color="000000"/>
              <w:bottom w:val="single" w:sz="8" w:space="0" w:color="000000"/>
              <w:end w:val="single" w:sz="4"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ind w:end="1590"/>
              <w:jc w:val="center"/>
              <w:rPr>
                <w:b/>
              </w:rPr>
            </w:pPr>
            <w:r>
              <w:rPr>
                <w:b/>
              </w:rPr>
              <w:t>Comments</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b/>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annual and three (3) year Business Plans, including the additional capital forecasted</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 w:val="left" w:pos="4110" w:leader="none"/>
                <w:tab w:val="left" w:pos="4290" w:leader="none"/>
                <w:tab w:val="left" w:pos="4650" w:leader="none"/>
                <w:tab w:val="left" w:pos="4980" w:leader="none"/>
              </w:tabs>
              <w:spacing w:before="0" w:after="58"/>
              <w:ind w:end="510"/>
              <w:rPr>
                <w:sz w:val="20"/>
              </w:rPr>
            </w:pPr>
            <w:r>
              <w:rPr>
                <w:sz w:val="20"/>
              </w:rPr>
              <w:t>None Exist.</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analysis of capital cost estimates to determine the feasible of adding combined cycle or additional simple cycle generation to the site</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10/17/00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This has not been formally documented.</w:t>
            </w:r>
          </w:p>
        </w:tc>
      </w:tr>
      <w:tr>
        <w:trPr>
          <w:trHeight w:val="363" w:hRule="atLeast"/>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all LLC financial statements, including income statements and balance sheets on a quarterly and annual basis. Please provide monthly management reports.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details of all liabilities of the LLCs as well as any commitments and contingencies or pending litigation, including employee obligations.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discuss with DPL.</w:t>
            </w:r>
          </w:p>
        </w:tc>
      </w:tr>
      <w:tr>
        <w:trPr/>
        <w:tc>
          <w:tcPr>
            <w:tcW w:w="540" w:type="dxa"/>
            <w:tcBorders>
              <w:top w:val="single" w:sz="6" w:space="0" w:color="000000"/>
              <w:start w:val="single" w:sz="6" w:space="0" w:color="000000"/>
              <w:bottom w:val="single" w:sz="6" w:space="0" w:color="000000"/>
              <w:end w:val="single" w:sz="6" w:space="0" w:color="000000"/>
            </w:tcBorders>
            <w:vAlign w:val="center"/>
          </w:tcPr>
          <w:p>
            <w:pPr>
              <w:pStyle w:val="Normal"/>
              <w:numPr>
                <w:ilvl w:val="0"/>
                <w:numId w:val="4"/>
              </w:numPr>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tc>
        <w:tc>
          <w:tcPr>
            <w:tcW w:w="5310" w:type="dxa"/>
            <w:tcBorders>
              <w:top w:val="single" w:sz="6" w:space="0" w:color="000000"/>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What is the station power consumption rate and how much has been paid for this consumption in 2000?  Please provide the monthly cash flows.</w:t>
            </w:r>
          </w:p>
        </w:tc>
        <w:tc>
          <w:tcPr>
            <w:tcW w:w="1170" w:type="dxa"/>
            <w:tcBorders>
              <w:top w:val="single" w:sz="6" w:space="0" w:color="000000"/>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top w:val="single" w:sz="6" w:space="0" w:color="000000"/>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c>
          <w:tcPr>
            <w:tcW w:w="4950" w:type="dxa"/>
            <w:tcBorders>
              <w:top w:val="single" w:sz="6" w:space="0" w:color="000000"/>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station power consumption rate at parasitic load with all turbines running is approximately 3 MWs.  With the plant running at standby the output is approximately .5 MWs.</w:t>
            </w:r>
          </w:p>
        </w:tc>
      </w:tr>
    </w:tbl>
    <w:p>
      <w:pPr>
        <w:pStyle w:val="Header"/>
        <w:tabs>
          <w:tab w:val="clear" w:pos="4320"/>
          <w:tab w:val="clear" w:pos="8640"/>
        </w:tabs>
        <w:ind w:end="684"/>
        <w:rPr/>
      </w:pPr>
      <w:r>
        <w:rPr/>
      </w:r>
      <w:r>
        <w:br w:type="page"/>
      </w:r>
    </w:p>
    <w:p>
      <w:pPr>
        <w:pStyle w:val="Header"/>
        <w:tabs>
          <w:tab w:val="clear" w:pos="4320"/>
          <w:tab w:val="clear" w:pos="8640"/>
        </w:tabs>
        <w:ind w:end="684"/>
        <w:rPr/>
      </w:pPr>
      <w:r>
        <w:rPr/>
      </w:r>
    </w:p>
    <w:tbl>
      <w:tblPr>
        <w:tblW w:w="14490" w:type="dxa"/>
        <w:jc w:val="start"/>
        <w:tblInd w:w="-240" w:type="dxa"/>
        <w:tblLayout w:type="fixed"/>
        <w:tblCellMar>
          <w:top w:w="0" w:type="dxa"/>
          <w:start w:w="120" w:type="dxa"/>
          <w:bottom w:w="0" w:type="dxa"/>
          <w:end w:w="120" w:type="dxa"/>
        </w:tblCellMar>
      </w:tblPr>
      <w:tblGrid>
        <w:gridCol w:w="630"/>
        <w:gridCol w:w="5220"/>
        <w:gridCol w:w="1170"/>
        <w:gridCol w:w="1080"/>
        <w:gridCol w:w="1440"/>
        <w:gridCol w:w="4950"/>
      </w:tblGrid>
      <w:tr>
        <w:trPr>
          <w:tblHeader w:val="true"/>
        </w:trPr>
        <w:tc>
          <w:tcPr>
            <w:tcW w:w="63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0"/>
              </w:numPr>
              <w:ind w:hanging="0" w:start="0"/>
              <w:rPr>
                <w:b/>
                <w:sz w:val="20"/>
              </w:rPr>
            </w:pPr>
            <w:r>
              <w:rPr>
                <w:b/>
                <w:sz w:val="20"/>
              </w:rPr>
              <w:t>4.0</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Environmental</w:t>
            </w:r>
          </w:p>
        </w:tc>
        <w:tc>
          <w:tcPr>
            <w:tcW w:w="1170" w:type="dxa"/>
            <w:tcBorders>
              <w:top w:val="single" w:sz="8" w:space="0" w:color="000000"/>
              <w:start w:val="single" w:sz="4" w:space="0" w:color="000000"/>
              <w:bottom w:val="single" w:sz="8" w:space="0" w:color="000000"/>
              <w:end w:val="single" w:sz="8" w:space="0" w:color="000000"/>
            </w:tcBorders>
            <w:shd w:fill="F2F2F2" w:val="clear"/>
            <w:vAlign w:val="center"/>
          </w:tcPr>
          <w:p>
            <w:pPr>
              <w:pStyle w:val="QuickA"/>
              <w:numPr>
                <w:ilvl w:val="0"/>
                <w:numId w:val="0"/>
              </w:numPr>
              <w:ind w:hanging="0" w:start="0"/>
              <w:jc w:val="center"/>
              <w:rPr>
                <w:b/>
                <w:sz w:val="20"/>
              </w:rPr>
            </w:pPr>
            <w:r>
              <w:rPr>
                <w:b/>
                <w:sz w:val="20"/>
              </w:rPr>
              <w:t>Date Requested</w:t>
            </w:r>
          </w:p>
        </w:tc>
        <w:tc>
          <w:tcPr>
            <w:tcW w:w="1080" w:type="dxa"/>
            <w:tcBorders>
              <w:top w:val="single" w:sz="8" w:space="0" w:color="000000"/>
              <w:start w:val="single" w:sz="8"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sz w:val="20"/>
              </w:rPr>
            </w:pPr>
            <w:r>
              <w:rPr>
                <w:b/>
                <w:sz w:val="20"/>
              </w:rPr>
              <w:t>Date Received</w:t>
            </w:r>
          </w:p>
        </w:tc>
        <w:tc>
          <w:tcPr>
            <w:tcW w:w="1440" w:type="dxa"/>
            <w:tcBorders>
              <w:top w:val="single" w:sz="8" w:space="0" w:color="000000"/>
              <w:start w:val="single" w:sz="4" w:space="0" w:color="000000"/>
              <w:bottom w:val="single" w:sz="8" w:space="0" w:color="000000"/>
              <w:end w:val="single" w:sz="4" w:space="0" w:color="000000"/>
            </w:tcBorders>
            <w:shd w:fill="F2F2F2" w:val="clear"/>
            <w:vAlign w:val="center"/>
          </w:tcPr>
          <w:p>
            <w:pPr>
              <w:pStyle w:val="QuickA"/>
              <w:numPr>
                <w:ilvl w:val="0"/>
                <w:numId w:val="0"/>
              </w:numPr>
              <w:ind w:hanging="0" w:start="0"/>
              <w:jc w:val="center"/>
              <w:rPr>
                <w:b/>
              </w:rPr>
            </w:pPr>
            <w:r>
              <w:rPr>
                <w:b/>
              </w:rPr>
              <w:t>Status</w:t>
            </w:r>
          </w:p>
        </w:tc>
        <w:tc>
          <w:tcPr>
            <w:tcW w:w="495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Comments</w:t>
            </w:r>
          </w:p>
        </w:tc>
      </w:tr>
      <w:tr>
        <w:trPr>
          <w:trHeight w:val="1528"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emission profiles with and without evaporative cooling, at load ranges of 0 – 100% (in 5% increments) at ambient temperatures of –15, -5, 5, 15, 25, 35, 45, 55, 65, 75, 85, and 95 degrees F, that include the #/hr and ppmvd of NOx CO, SO2, VOC, and particulates, as adjusted for site elevation.  Emission profiles should also include output, heat rate, exhaust flow, exhaust temp.</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Please note that Appendix B-1 of the air permit (See DealBench Doc # 02.01.02 A) application provides emission profiles for 75% and 100% load factors at 0, 27, 57, 89, and 95 degrees.  Otherwise see DealBench Doc. # 04.01.07.  See DealBench Doc # 02.01.02 A to view the State Air Permits.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emissions compliance testing conducted in accordance with NSPS and Permit to Construct and any emissions testing to validate equipment warranties.</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Document 04.01 C., an Enron e-mail, states that CEM certification testing is scheduled to take place in June 2001.  Please confirm date of CEM certification and compliance testing.</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A copy of the Performance Test Report (04.01.03 A-E) conducted by McHale &amp; Associates prior to commissioning the turbines has been placed in the data room. Due to economic reasons, the EPA accepted this report as conditional demonstration of compliance with NSPS Subpart GG, pending a complete NSPS compliance demonstration to be conducted by January 30, 2001 during CEMS certification.</w:t>
            </w:r>
          </w:p>
          <w:p>
            <w:pPr>
              <w:pStyle w:val="Normal"/>
              <w:tabs>
                <w:tab w:val="left" w:pos="-1440" w:leader="none"/>
                <w:tab w:val="left" w:pos="-720" w:leader="none"/>
                <w:tab w:val="left" w:pos="-120" w:leader="none"/>
                <w:tab w:val="left" w:pos="720" w:leader="none"/>
              </w:tabs>
              <w:spacing w:before="0" w:after="58"/>
              <w:rPr>
                <w:sz w:val="20"/>
              </w:rPr>
            </w:pPr>
            <w:r>
              <w:rPr>
                <w:sz w:val="20"/>
              </w:rPr>
              <w:t>We have extended the certification and at this time have not received a written response from the EPA approving the CEMS certification extention deadline until January 30, 2001.  We were verbally told that our request was approved in a policy review committee held on October 12, 2000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plant monitoring data for fuel nitrogen and sulfur content.</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 xml:space="preserve">The plant has not been sampled for fuel nitrogen and sulfur content in natural gas. The plant relied on sampling data generated by the natural gas supplier to ensure compliance with the NSPS requirements. The plant also has an approval from the EPA to conduct sulfur sampling on a semi-annual basis.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water-to-fuel ratio data during all operating hours.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There has been hundreds of operating hours (all units combined).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Title 5 application submitted to IDEM.</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application has not been submitted. The due date for this application is April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Phase II Acid Rain Application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 Document # 02.02.03 H</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results of CEM certification.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CEMS have not been certified. The EPA has approved an extension of the deadline until January 30, 2001.</w:t>
            </w:r>
          </w:p>
        </w:tc>
      </w:tr>
      <w:tr>
        <w:trPr>
          <w:trHeight w:val="2547"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stack gas stratification issues.</w:t>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 copy of the letter from USEPA providing approval to delay CEM certification until 1/30/01.</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While attempting to certify the CEMS on August 7, 2000 within 90 days from commencement of commercial operation, we conducted a stratification check on units 1 and 2. One probe location on the edge of the stack indicated high oxygen and low CO and NOx readings. A copy of the stratification emissions report has been placed in the data room. An investigation of the stratification problem has not yet been conducted. The EPA, however, has given an approval to delay the CEMS certification until January 30, 2001, and of a procedure to certify the CEMS despite stratification.  At this time we can not provide the letter due to the fact that we have not received a written response from the EPA approving the CEMS certification deadline extention until January 30, 2001.  We were verbally told that our request was approved in a policy review committee held on October 12, 2000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NOx, CO2 and CO CEM reports for all operating hours, including ppm, #/hr, #/mmBtu and cumulative TPY.</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To be provided by Enron –Attached Doc.</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Standard Operating Procedures and QA/QC manual.</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A copy of the CEM and water Injection SOP’s has been provided on the SOP (See DealBench Doc # 04.01.10).  See SOP 07 and 14 and 29 for information concerning the actual operations of the equipment.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on initiation of water injection after startup (i.e. when water injection can be safely initiated).</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SWPC OEM technical manuals describe water injection start-up at above 50 MW.  SWPC is setting up new units at 35MW per SWPC directives.   With the demineralized water transfer pump running, the GT is started.  Once generator circuit breaker closes, the GT water injection pump auto starts and water goes to recirculation.  At 35MW the water injection flow control valves stroke open to initiate water flow.  Ratio is automatic control and the primary and supplementary water control valves will open/close accordingly through varying loads.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Preventive Maintenance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To be provided by Enron – Attached/Fax</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Compliance Response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b/>
                <w:sz w:val="20"/>
              </w:rPr>
            </w:pPr>
            <w:r>
              <w:rPr>
                <w:sz w:val="20"/>
              </w:rPr>
              <w:t>To be provided by Enron – Attached/Fax</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SPCC Plan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SPCC plan is still in development. The anticipated completion date is November 30, 2000.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Affidavit of Construction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02.01.02 B</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Operation Permit Validation letter.</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permit application has not been submitted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revision to the Permit to Construct dated 3-13-00.</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napToGrid w:val="false"/>
              <w:ind w:hanging="0" w:start="0"/>
              <w:rPr>
                <w:b w:val="false"/>
              </w:rPr>
            </w:pPr>
            <w:r>
              <w:rPr>
                <w:b w:val="false"/>
              </w:rPr>
            </w:r>
          </w:p>
          <w:p>
            <w:pPr>
              <w:pStyle w:val="Heading6"/>
              <w:spacing w:before="0" w:after="58"/>
              <w:ind w:hanging="0" w:start="0"/>
              <w:rPr>
                <w:b w:val="false"/>
              </w:rPr>
            </w:pPr>
            <w:r>
              <w:rPr>
                <w:b w:val="false"/>
              </w:rPr>
              <w:t>The purpose of the permit change of March 13,2000 was to add a small (0.5) MMBtu/hr) diesel-fired emergency generator to the permit.  This generator was for the purpose of providing emergency freeze protection for equipment in the switchyard.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potable water supply agreement.</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napToGrid w:val="false"/>
              <w:ind w:hanging="0" w:start="0"/>
              <w:rPr>
                <w:b w:val="false"/>
              </w:rPr>
            </w:pPr>
            <w:r>
              <w:rPr>
                <w:b w:val="false"/>
              </w:rPr>
            </w:r>
          </w:p>
          <w:p>
            <w:pPr>
              <w:pStyle w:val="Heading6"/>
              <w:spacing w:before="0" w:after="58"/>
              <w:ind w:hanging="0" w:start="0"/>
              <w:rPr>
                <w:b w:val="false"/>
              </w:rPr>
            </w:pPr>
            <w:r>
              <w:rPr>
                <w:b w:val="false"/>
              </w:rPr>
              <w:t>To my knowledge there is no “agreement”.  There is simply service account set-up through Knox County water system.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data on local water supplies, including well logs of local wells.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02.06.05 B</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Phase II environmental assessments conducted on any properties included in this transaction.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No Phase II assessments were performed for any of the sites as the Phase I assessments did not conclude that they were necessary.</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 on any zoning restrictions related to stack height or noise.</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Heading6"/>
              <w:spacing w:before="0" w:after="58"/>
              <w:ind w:hanging="0" w:start="0"/>
              <w:rPr>
                <w:b w:val="false"/>
              </w:rPr>
            </w:pPr>
            <w:r>
              <w:rPr>
                <w:b w:val="false"/>
              </w:rPr>
              <w:t>Currently, there are no noise or stack height restrictions at the facility.</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 quality analysis of water withdrawn from lake.</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04.01.06</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water quality control procedures, including methods for pH and conductivity adjustments.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During water production periods Ecolochem Field Service Rep. ensures appropriate water quality per engine OEM standards.  The demineralizer trailers also employ online conductivity meters set at .5 micromhos to alarm operator of spent demin trailer.  The plant online conductivity meter downstream of the trailers also ensure quality water production.  It is calibrated and alarms at .5 micromho.  Conductivity adjustments are not necessary on the demineralized water because the trailers are removed from service once conductivity exceeds .5 micromho.  PH control is within range per the OEM and has not been necessary.  OEC Op. Techs. provide PH and conductivity sampling of tanks daily. See log.</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raw water filtering requirements, prior to demineralization.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Currently we utilize a cargo media filter.  Upstream of the cargo media filter an Alumina is injected to bond small particulate.  Additionally a bio is injected to kill biologicals.  Once filtered, the water is placed in the raw water tank for stand by for demineralization.  Cargo media filter, upon high differential pressure requires backflush.  Backflush water is micro filtered in the Ecolochem microfilter unit to recover up to 90% of the waste water stream for reuse in the raw water system.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custom schedule request to USEPA.</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See DealBench Doc # 04.01 E</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costs associated with operation and maintenance of CEMs including annual RATA testing, calibration gases, spare parts, etc.</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Clean Air Engineering is retained under contract to conduct quarterly linearity checks and annual RATA’s. A copy of this contract has been placed in the data room. There has not been enough run time to obtain an accurate cost assessment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contract with Ecolochem for demineralization of water.</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04.01.06</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warranty agreement with CISCO.</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All Nepco purchased equipment meets the Nepco Warranty purchase agreement.  The agreement requires OEM’s to guarantee for one year.</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determination of SARA reporting requirements under 311 and 312.</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sz w:val="20"/>
              </w:rPr>
            </w:pPr>
            <w:r>
              <w:rPr>
                <w:sz w:val="20"/>
              </w:rPr>
              <w:t>It is our assessment that we do not hold any SARA chemical in quantities greater than 10,000 lbs. SARA reporting is not required. Additionally, this plant began operation in April 2000. The first SARA report, if applicable, is not due until July 1,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need for a mercaptan odorizing station.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b/>
                <w:sz w:val="20"/>
              </w:rPr>
            </w:pPr>
            <w:r>
              <w:rPr>
                <w:sz w:val="20"/>
              </w:rPr>
              <w:t xml:space="preserve">Mercaptan provides an added safety and health enhancement at the facility.  The local gas supply is not odorized therefor it was determined through a HAZOP that the facilities will have Mercaptan but in minimal quantities only. </w:t>
            </w:r>
            <w:r>
              <w:rPr>
                <w:b/>
                <w:sz w:val="20"/>
              </w:rPr>
              <w:t xml:space="preserve"> </w:t>
            </w:r>
            <w:r>
              <w:rPr>
                <w:sz w:val="20"/>
              </w:rPr>
              <w:t>There are no legal requirements for the use of Mercaptan as a safety concern.  We just think its good company policy.</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hydrologic studies performed at the associated properties.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04.01.06</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schedule of all environmental, health and safety required training and associated procedures.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b/>
                <w:sz w:val="20"/>
              </w:rPr>
            </w:pPr>
            <w:r>
              <w:rPr>
                <w:b/>
                <w:sz w:val="20"/>
              </w:rPr>
            </w:r>
          </w:p>
          <w:p>
            <w:pPr>
              <w:pStyle w:val="Normal"/>
              <w:tabs>
                <w:tab w:val="left" w:pos="-1440" w:leader="none"/>
                <w:tab w:val="left" w:pos="-720" w:leader="none"/>
                <w:tab w:val="left" w:pos="-120" w:leader="none"/>
                <w:tab w:val="left" w:pos="720" w:leader="none"/>
              </w:tabs>
              <w:spacing w:before="0" w:after="58"/>
              <w:rPr>
                <w:b/>
                <w:sz w:val="20"/>
              </w:rPr>
            </w:pPr>
            <w:r>
              <w:rPr>
                <w:sz w:val="20"/>
              </w:rPr>
              <w:t>All safety and health procedures are available in the OEC safety manual.  Training has included but not limited to CSE, LOTO, electrical safety, fire fighting incipient level, HAZCOM, PPE, elevated heights/fall restraints, ladders, PFT and others.  This answer has been updated since the first questions were sent out.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maximum water withdrawal rates from the lake reservoir and explain any limitations.</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Maximum water withdrawal from the lake due to plant operations is estimated to be 576,000gals. /day based on 400GPM over a 24 hour operating day.  Otherwise see DealBench Doc. # 02.03.20.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attachments to Section 3 of the Monitoring Plan, including the natural gas sulfur content documentation and flue flow meter documentation.</w:t>
            </w:r>
          </w:p>
        </w:tc>
        <w:tc>
          <w:tcPr>
            <w:tcW w:w="1170" w:type="dxa"/>
            <w:tcBorders>
              <w:start w:val="single" w:sz="4"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napToGrid w:val="false"/>
              <w:spacing w:before="0" w:after="58"/>
              <w:jc w:val="center"/>
              <w:rPr>
                <w:sz w:val="20"/>
              </w:rPr>
            </w:pPr>
            <w:r>
              <w:rPr>
                <w:sz w:val="20"/>
              </w:rPr>
            </w:r>
          </w:p>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See DealBench Doc # 04.01 F</w:t>
            </w:r>
          </w:p>
          <w:p>
            <w:pPr>
              <w:pStyle w:val="Normal"/>
              <w:tabs>
                <w:tab w:val="left" w:pos="-1440" w:leader="none"/>
                <w:tab w:val="left" w:pos="-720" w:leader="none"/>
                <w:tab w:val="left" w:pos="-120" w:leader="none"/>
                <w:tab w:val="left" w:pos="720" w:leader="none"/>
              </w:tabs>
              <w:spacing w:before="0" w:after="58"/>
              <w:rPr>
                <w:b/>
                <w:sz w:val="20"/>
              </w:rPr>
            </w:pPr>
            <w:r>
              <w:rPr>
                <w:b/>
                <w:sz w:val="20"/>
              </w:rPr>
            </w:r>
          </w:p>
        </w:tc>
      </w:tr>
      <w:tr>
        <w:trPr/>
        <w:tc>
          <w:tcPr>
            <w:tcW w:w="630" w:type="dxa"/>
            <w:tcBorders>
              <w:start w:val="single" w:sz="6" w:space="0" w:color="000000"/>
              <w:bottom w:val="single" w:sz="6" w:space="0" w:color="000000"/>
              <w:end w:val="single" w:sz="6" w:space="0" w:color="000000"/>
            </w:tcBorders>
            <w:vAlign w:val="center"/>
          </w:tcPr>
          <w:p>
            <w:pPr>
              <w:pStyle w:val="QuickA"/>
              <w:numPr>
                <w:ilvl w:val="0"/>
                <w:numId w:val="0"/>
              </w:numPr>
              <w:ind w:hanging="0" w:start="0"/>
              <w:rPr>
                <w:sz w:val="20"/>
              </w:rPr>
            </w:pPr>
            <w:r>
              <w:rPr>
                <w:sz w:val="20"/>
              </w:rPr>
              <w:t>4.35</w:t>
            </w:r>
          </w:p>
        </w:tc>
        <w:tc>
          <w:tcPr>
            <w:tcW w:w="522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of the CO CEM system, including equipment and calculation method.</w:t>
            </w:r>
          </w:p>
        </w:tc>
        <w:tc>
          <w:tcPr>
            <w:tcW w:w="1170" w:type="dxa"/>
            <w:tcBorders>
              <w:start w:val="single" w:sz="4" w:space="0" w:color="000000"/>
              <w:bottom w:val="single" w:sz="6" w:space="0" w:color="000000"/>
              <w:end w:val="single" w:sz="6"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sz w:val="20"/>
              </w:rPr>
            </w:pPr>
            <w:r>
              <w:rPr>
                <w:sz w:val="20"/>
              </w:rPr>
              <w:t>10/18/00</w:t>
            </w:r>
          </w:p>
        </w:tc>
        <w:tc>
          <w:tcPr>
            <w:tcW w:w="1080" w:type="dxa"/>
            <w:tcBorders>
              <w:start w:val="single" w:sz="6" w:space="0" w:color="000000"/>
              <w:bottom w:val="single" w:sz="6" w:space="0" w:color="000000"/>
              <w:end w:val="single" w:sz="4" w:space="0" w:color="000000"/>
            </w:tcBorders>
            <w:vAlign w:val="center"/>
          </w:tcPr>
          <w:p>
            <w:pPr>
              <w:pStyle w:val="Normal"/>
              <w:tabs>
                <w:tab w:val="left" w:pos="-1440" w:leader="none"/>
                <w:tab w:val="left" w:pos="-720" w:leader="none"/>
                <w:tab w:val="left" w:pos="-120" w:leader="none"/>
                <w:tab w:val="left" w:pos="720" w:leader="none"/>
              </w:tabs>
              <w:spacing w:before="0" w:after="58"/>
              <w:jc w:val="center"/>
              <w:rPr>
                <w:sz w:val="20"/>
              </w:rPr>
            </w:pPr>
            <w:r>
              <w:rPr>
                <w:sz w:val="20"/>
              </w:rPr>
              <w:t>10/19/00</w:t>
            </w:r>
          </w:p>
        </w:tc>
        <w:tc>
          <w:tcPr>
            <w:tcW w:w="1440" w:type="dxa"/>
            <w:tcBorders>
              <w:start w:val="single" w:sz="4" w:space="0" w:color="000000"/>
              <w:bottom w:val="single" w:sz="6" w:space="0" w:color="000000"/>
              <w:end w:val="single" w:sz="4" w:space="0" w:color="000000"/>
            </w:tcBorders>
            <w:vAlign w:val="center"/>
          </w:tcPr>
          <w:p>
            <w:pPr>
              <w:pStyle w:val="QuickA"/>
              <w:numPr>
                <w:ilvl w:val="0"/>
                <w:numId w:val="0"/>
              </w:numPr>
              <w:snapToGrid w:val="false"/>
              <w:ind w:hanging="0" w:start="0"/>
              <w:jc w:val="center"/>
              <w:rPr>
                <w:b/>
                <w:sz w:val="20"/>
              </w:rPr>
            </w:pPr>
            <w:r>
              <w:rPr>
                <w:b/>
                <w:sz w:val="20"/>
              </w:rPr>
            </w:r>
          </w:p>
        </w:tc>
        <w:tc>
          <w:tcPr>
            <w:tcW w:w="495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With the delay in CEMs certification until January 30, 2001, we have until December 15, 2000 to submit a revised monitoring plan with the appropriate attachments</w:t>
            </w:r>
          </w:p>
        </w:tc>
      </w:tr>
    </w:tbl>
    <w:p>
      <w:pPr>
        <w:pStyle w:val="Header"/>
        <w:tabs>
          <w:tab w:val="clear" w:pos="4320"/>
          <w:tab w:val="clear" w:pos="8640"/>
        </w:tabs>
        <w:ind w:end="684"/>
        <w:rPr>
          <w:sz w:val="20"/>
        </w:rPr>
      </w:pPr>
      <w:r>
        <w:rPr>
          <w:sz w:val="20"/>
        </w:rPr>
      </w:r>
    </w:p>
    <w:p>
      <w:pPr>
        <w:pStyle w:val="Header"/>
        <w:tabs>
          <w:tab w:val="clear" w:pos="4320"/>
          <w:tab w:val="clear" w:pos="8640"/>
        </w:tabs>
        <w:ind w:end="684"/>
        <w:rPr>
          <w:sz w:val="20"/>
        </w:rPr>
      </w:pPr>
      <w:r>
        <w:rPr>
          <w:sz w:val="20"/>
        </w:rPr>
      </w:r>
    </w:p>
    <w:p>
      <w:pPr>
        <w:pStyle w:val="Header"/>
        <w:tabs>
          <w:tab w:val="clear" w:pos="4320"/>
          <w:tab w:val="clear" w:pos="8640"/>
        </w:tabs>
        <w:ind w:end="684"/>
        <w:rPr>
          <w:sz w:val="20"/>
        </w:rPr>
      </w:pPr>
      <w:r>
        <w:rPr>
          <w:sz w:val="20"/>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Header"/>
        <w:tabs>
          <w:tab w:val="clear" w:pos="4320"/>
          <w:tab w:val="clear" w:pos="8640"/>
        </w:tabs>
        <w:ind w:end="684"/>
        <w:rPr>
          <w:rFonts w:ascii="Arial" w:hAnsi="Arial" w:cs="Arial"/>
          <w:b/>
          <w:sz w:val="20"/>
          <w:lang w:eastAsia="en-US"/>
        </w:rPr>
      </w:pPr>
      <w:r>
        <w:rPr>
          <w:rFonts w:cs="Arial" w:ascii="Arial" w:hAnsi="Arial"/>
          <w:b/>
          <w:sz w:val="20"/>
          <w:lang w:eastAsia="en-US"/>
        </w:rPr>
      </w:r>
    </w:p>
    <w:sectPr>
      <w:type w:val="continuous"/>
      <w:pgSz w:orient="landscape" w:w="15840" w:h="12240"/>
      <w:pgMar w:left="1008" w:right="1008"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 w:val="right" w:pos="9360" w:leader="none"/>
      </w:tabs>
      <w:rPr>
        <w:sz w:val="20"/>
      </w:rPr>
    </w:pPr>
    <w:r>
      <w:rPr>
        <w:sz w:val="20"/>
      </w:rPr>
      <w:t>Status Legend:  A = Actual date received, P = Partial Response Received</w:t>
    </w:r>
  </w:p>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fldChar w:fldCharType="begin"/>
    </w:r>
    <w:r>
      <w:rPr>
        <w:sz w:val="20"/>
      </w:rPr>
      <w:instrText xml:space="preserve"> FILENAME </w:instrText>
    </w:r>
    <w:r>
      <w:rPr>
        <w:sz w:val="20"/>
      </w:rPr>
      <w:fldChar w:fldCharType="separate"/>
    </w:r>
    <w:r>
      <w:rPr>
        <w:sz w:val="20"/>
      </w:rPr>
      <w:t>DPL_Wheatland_Questions___Final-a6e2f1b93e94f8c239624e32e111f53a7309f5efcb3c01b91ba9d7c958a12d37.doc</w:t>
    </w:r>
    <w:r>
      <w:rPr>
        <w:sz w:val="20"/>
      </w:rPr>
      <w:fldChar w:fldCharType="end"/>
    </w:r>
  </w:p>
  <w:p>
    <w:pPr>
      <w:pStyle w:val="Normal"/>
      <w:tabs>
        <w:tab w:val="clear" w:pos="720"/>
        <w:tab w:val="left" w:pos="6480" w:leader="none"/>
        <w:tab w:val="right" w:pos="9360" w:leader="none"/>
      </w:tabs>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 </w:t>
    </w: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and Proprietary</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lvlText w:val="1.%1"/>
      <w:lvlJc w:val="start"/>
      <w:pPr>
        <w:tabs>
          <w:tab w:val="num" w:pos="36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decimal"/>
      <w:lvlText w:val="3.%1"/>
      <w:lvlJc w:val="start"/>
      <w:pPr>
        <w:tabs>
          <w:tab w:val="num" w:pos="360"/>
        </w:tabs>
        <w:ind w:start="0" w:hanging="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numFmt w:val="decimal"/>
      <w:lvlText w:val="2.%1"/>
      <w:lvlJc w:val="start"/>
      <w:pPr>
        <w:tabs>
          <w:tab w:val="num" w:pos="360"/>
        </w:tabs>
        <w:ind w:start="0" w:hanging="0"/>
      </w:pPr>
    </w:lvl>
  </w:abstractNum>
  <w:abstractNum w:abstractNumId="7">
    <w:lvl w:ilvl="0">
      <w:numFmt w:val="decimal"/>
      <w:lvlText w:val="0.%1"/>
      <w:lvlJc w:val="start"/>
      <w:pPr>
        <w:tabs>
          <w:tab w:val="num" w:pos="720"/>
        </w:tabs>
        <w:ind w:start="0" w:hanging="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260" w:start="9360" w:end="-990"/>
      <w:outlineLvl w:val="0"/>
    </w:pPr>
    <w:rPr>
      <w:b/>
      <w:sz w:val="20"/>
    </w:rPr>
  </w:style>
  <w:style w:type="paragraph" w:styleId="Heading2">
    <w:name w:val="heading 2"/>
    <w:basedOn w:val="Normal"/>
    <w:next w:val="Normal"/>
    <w:qFormat/>
    <w:pPr>
      <w:keepNext w:val="true"/>
      <w:numPr>
        <w:ilvl w:val="1"/>
        <w:numId w:val="1"/>
      </w:numPr>
      <w:tabs>
        <w:tab w:val="clear" w:pos="720"/>
        <w:tab w:val="center" w:pos="6480" w:leader="none"/>
      </w:tabs>
      <w:jc w:val="center"/>
      <w:outlineLvl w:val="1"/>
    </w:pPr>
    <w:rPr>
      <w:b/>
      <w:sz w:val="28"/>
    </w:rPr>
  </w:style>
  <w:style w:type="paragraph" w:styleId="Heading3">
    <w:name w:val="heading 3"/>
    <w:basedOn w:val="Normal"/>
    <w:next w:val="Normal"/>
    <w:qFormat/>
    <w:pPr>
      <w:keepNext w:val="true"/>
      <w:numPr>
        <w:ilvl w:val="2"/>
        <w:numId w:val="1"/>
      </w:numPr>
      <w:ind w:firstLine="1260" w:start="9360" w:end="0"/>
      <w:jc w:val="both"/>
      <w:outlineLvl w:val="2"/>
    </w:pPr>
    <w:rPr>
      <w:b/>
      <w:sz w:val="20"/>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left" w:pos="-1440" w:leader="none"/>
        <w:tab w:val="left" w:pos="-720" w:leader="none"/>
        <w:tab w:val="left" w:pos="-120" w:leader="none"/>
        <w:tab w:val="left" w:pos="720" w:leader="none"/>
      </w:tabs>
      <w:spacing w:before="0" w:after="58"/>
      <w:outlineLvl w:val="5"/>
    </w:pPr>
    <w:rPr>
      <w:b/>
      <w:sz w:val="20"/>
    </w:rPr>
  </w:style>
  <w:style w:type="paragraph" w:styleId="Heading7">
    <w:name w:val="heading 7"/>
    <w:basedOn w:val="Normal"/>
    <w:next w:val="Normal"/>
    <w:qFormat/>
    <w:pPr>
      <w:keepNext w:val="true"/>
      <w:numPr>
        <w:ilvl w:val="6"/>
        <w:numId w:val="1"/>
      </w:numPr>
      <w:tabs>
        <w:tab w:val="left" w:pos="-1440" w:leader="none"/>
        <w:tab w:val="left" w:pos="-720" w:leader="none"/>
        <w:tab w:val="left" w:pos="-120" w:leader="none"/>
        <w:tab w:val="left" w:pos="720" w:leader="none"/>
      </w:tabs>
      <w:ind w:hanging="5040" w:start="5760" w:end="0"/>
      <w:outlineLvl w:val="6"/>
    </w:pPr>
    <w:rPr>
      <w:b/>
      <w:sz w:val="16"/>
    </w:rPr>
  </w:style>
  <w:style w:type="paragraph" w:styleId="Heading8">
    <w:name w:val="heading 8"/>
    <w:basedOn w:val="Normal"/>
    <w:next w:val="Normal"/>
    <w:qFormat/>
    <w:pPr>
      <w:keepNext w:val="true"/>
      <w:numPr>
        <w:ilvl w:val="7"/>
        <w:numId w:val="1"/>
      </w:numPr>
      <w:tabs>
        <w:tab w:val="left" w:pos="-1440" w:leader="none"/>
        <w:tab w:val="left" w:pos="-720" w:leader="none"/>
        <w:tab w:val="left" w:pos="-120" w:leader="none"/>
        <w:tab w:val="left" w:pos="720" w:leader="none"/>
      </w:tabs>
      <w:spacing w:before="0" w:after="58"/>
      <w:jc w:val="center"/>
      <w:outlineLvl w:val="7"/>
    </w:pPr>
    <w:rPr>
      <w:i/>
      <w:sz w:val="20"/>
    </w:rPr>
  </w:style>
  <w:style w:type="paragraph" w:styleId="Heading9">
    <w:name w:val="heading 9"/>
    <w:basedOn w:val="Normal"/>
    <w:next w:val="Normal"/>
    <w:qFormat/>
    <w:pPr>
      <w:keepNext w:val="true"/>
      <w:numPr>
        <w:ilvl w:val="8"/>
        <w:numId w:val="1"/>
      </w:numPr>
      <w:tabs>
        <w:tab w:val="clear" w:pos="720"/>
        <w:tab w:val="center" w:pos="6480" w:leader="none"/>
      </w:tabs>
      <w:outlineLvl w:val="8"/>
    </w:pPr>
    <w:rPr>
      <w:b/>
      <w:sz w:val="28"/>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style>
  <w:style w:type="character" w:styleId="WW8Num9z0">
    <w:name w:val="WW8Num9z0"/>
    <w:qFormat/>
    <w:rPr>
      <w:rFonts w:ascii="Times New Roman" w:hAnsi="Times New Roman" w:cs="Times New Roman"/>
      <w:b w:val="false"/>
      <w:i w:val="false"/>
      <w:sz w:val="24"/>
      <w:u w:val="none"/>
    </w:rPr>
  </w:style>
  <w:style w:type="character" w:styleId="WW8Num12z0">
    <w:name w:val="WW8Num12z0"/>
    <w:qFormat/>
    <w:rPr>
      <w:rFonts w:ascii="Times New Roman" w:hAnsi="Times New Roman" w:cs="Times New Roman"/>
      <w:b w:val="false"/>
      <w:i w:val="false"/>
      <w:sz w:val="24"/>
      <w:u w:val="none"/>
    </w:rPr>
  </w:style>
  <w:style w:type="character" w:styleId="WW8Num13z0">
    <w:name w:val="WW8Num13z0"/>
    <w:qFormat/>
    <w:rPr>
      <w:rFonts w:ascii="Wingdings" w:hAnsi="Wingdings" w:cs="Wingdings"/>
    </w:rPr>
  </w:style>
  <w:style w:type="character" w:styleId="WW8Num23z0">
    <w:name w:val="WW8Num23z0"/>
    <w:qFormat/>
    <w:rPr>
      <w:b/>
    </w:rPr>
  </w:style>
  <w:style w:type="character" w:styleId="WW8Num24z0">
    <w:name w:val="WW8Num24z0"/>
    <w:qFormat/>
    <w:rPr>
      <w:rFonts w:ascii="Times New Roman" w:hAnsi="Times New Roman" w:cs="Times New Roman"/>
      <w:b w:val="false"/>
      <w:i w:val="false"/>
      <w:sz w:val="24"/>
      <w:u w:val="none"/>
    </w:rPr>
  </w:style>
  <w:style w:type="character" w:styleId="WW8Num25z0">
    <w:name w:val="WW8Num2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20" w:leader="none"/>
        <w:tab w:val="left" w:pos="240" w:leader="none"/>
        <w:tab w:val="left" w:pos="510" w:leader="none"/>
        <w:tab w:val="left" w:pos="216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ickA">
    <w:name w:val="Quick A."/>
    <w:basedOn w:val="Normal"/>
    <w:qFormat/>
    <w:pPr>
      <w:numPr>
        <w:ilvl w:val="0"/>
        <w:numId w:val="7"/>
      </w:numPr>
    </w:pPr>
    <w:rPr/>
  </w:style>
  <w:style w:type="paragraph" w:styleId="BodyTextIndent">
    <w:name w:val="Body Text Indent"/>
    <w:basedOn w:val="Normal"/>
    <w:pPr>
      <w:tabs>
        <w:tab w:val="clear" w:pos="720"/>
        <w:tab w:val="left" w:pos="-1440" w:leader="none"/>
        <w:tab w:val="left" w:pos="-720" w:leader="none"/>
        <w:tab w:val="left" w:pos="-120" w:leader="none"/>
        <w:tab w:val="left" w:pos="240" w:leader="none"/>
        <w:tab w:val="left" w:pos="510" w:leader="none"/>
        <w:tab w:val="left" w:pos="2160" w:leader="none"/>
      </w:tabs>
      <w:ind w:hanging="270" w:start="510" w:end="0"/>
    </w:pPr>
    <w:rPr>
      <w:sz w:val="20"/>
    </w:rPr>
  </w:style>
  <w:style w:type="paragraph" w:styleId="BodyText2">
    <w:name w:val="Body Text 2"/>
    <w:basedOn w:val="Normal"/>
    <w:qFormat/>
    <w:pPr>
      <w:tabs>
        <w:tab w:val="left" w:pos="-1440" w:leader="none"/>
        <w:tab w:val="left" w:pos="-720" w:leader="none"/>
        <w:tab w:val="left" w:pos="-120" w:leader="none"/>
        <w:tab w:val="left" w:pos="720" w:leader="none"/>
      </w:tabs>
      <w:spacing w:before="0" w:after="58"/>
    </w:pPr>
    <w:rPr>
      <w:b/>
      <w:sz w:val="20"/>
    </w:rPr>
  </w:style>
  <w:style w:type="paragraph" w:styleId="BodyText3">
    <w:name w:val="Body Text 3"/>
    <w:basedOn w:val="Normal"/>
    <w:qFormat/>
    <w:pPr>
      <w:spacing w:lineRule="atLeast" w:line="240"/>
    </w:pPr>
    <w:rPr>
      <w:color w:val="000000"/>
      <w:sz w:val="2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2000-10-22T20:00:00Z</dcterms:created>
  <dc:creator>James D. Kopp</dc:creator>
  <dc:description/>
  <dc:language>en-CA</dc:language>
  <cp:lastModifiedBy>Ben Rogers</cp:lastModifiedBy>
  <cp:lastPrinted>2000-10-25T15:35:00Z</cp:lastPrinted>
  <dcterms:modified xsi:type="dcterms:W3CDTF">2000-10-25T18:26:00Z</dcterms:modified>
  <cp:revision>102</cp:revision>
  <dc:subject/>
  <dc:title>Draft</dc:title>
</cp:coreProperties>
</file>