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ind w:end="684"/>
        <w:rPr/>
      </w:pPr>
      <w:r>
        <w:rPr/>
      </w:r>
    </w:p>
    <w:tbl>
      <w:tblPr>
        <w:tblW w:w="14130" w:type="dxa"/>
        <w:jc w:val="start"/>
        <w:tblInd w:w="-240" w:type="dxa"/>
        <w:tblLayout w:type="fixed"/>
        <w:tblCellMar>
          <w:top w:w="0" w:type="dxa"/>
          <w:start w:w="120" w:type="dxa"/>
          <w:bottom w:w="0" w:type="dxa"/>
          <w:end w:w="120" w:type="dxa"/>
        </w:tblCellMar>
      </w:tblPr>
      <w:tblGrid>
        <w:gridCol w:w="630"/>
        <w:gridCol w:w="5220"/>
        <w:gridCol w:w="8280"/>
      </w:tblGrid>
      <w:tr>
        <w:trPr>
          <w:tblHeader w:val="true"/>
          <w:trHeight w:val="403" w:hRule="atLeast"/>
        </w:trPr>
        <w:tc>
          <w:tcPr>
            <w:tcW w:w="630" w:type="dxa"/>
            <w:tcBorders>
              <w:top w:val="single" w:sz="8" w:space="0" w:color="000000"/>
              <w:start w:val="single" w:sz="8" w:space="0" w:color="000000"/>
              <w:bottom w:val="single" w:sz="8" w:space="0" w:color="000000"/>
              <w:end w:val="single" w:sz="8" w:space="0" w:color="000000"/>
            </w:tcBorders>
            <w:shd w:fill="F2F2F2" w:val="clear"/>
            <w:vAlign w:val="bottom"/>
          </w:tcPr>
          <w:p>
            <w:pPr>
              <w:pStyle w:val="QuickA"/>
              <w:numPr>
                <w:ilvl w:val="0"/>
                <w:numId w:val="0"/>
              </w:numPr>
              <w:ind w:hanging="0" w:start="0"/>
              <w:rPr>
                <w:b/>
                <w:sz w:val="20"/>
              </w:rPr>
            </w:pPr>
            <w:r>
              <w:rPr>
                <w:b/>
                <w:sz w:val="20"/>
              </w:rPr>
              <w:t>4.0</w:t>
            </w:r>
          </w:p>
        </w:tc>
        <w:tc>
          <w:tcPr>
            <w:tcW w:w="522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Environmental Questions</w:t>
            </w:r>
          </w:p>
        </w:tc>
        <w:tc>
          <w:tcPr>
            <w:tcW w:w="828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rPr>
            </w:pPr>
            <w:r>
              <w:rPr>
                <w:b/>
              </w:rPr>
              <w:t>Comments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emission profiles with and without evaporative cooling, at load ranges of 0 – 100% (in 5% increments) at ambient temperatures of –15, -5, 5, 15, 25, 35, 45, 55, 65, 75, 85, and 95 degrees F, that include the #/hr and ppmvd of NOx CO, SO2, VOC, and particulates, as adjusted for site elevation.  Emission profiles should also include output, heat rate, exhaust flow, exhaust temp.</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answered </w:t>
            </w:r>
            <w:r>
              <w:rPr>
                <w:b/>
                <w:bCs/>
                <w:sz w:val="20"/>
              </w:rPr>
              <w:t>by Mitch Robinson</w:t>
            </w:r>
            <w:r>
              <w:rPr>
                <w:sz w:val="20"/>
              </w:rPr>
              <w:t xml:space="preserve">, </w:t>
            </w:r>
            <w:r>
              <w:rPr>
                <w:b/>
                <w:bCs/>
                <w:sz w:val="20"/>
              </w:rPr>
              <w:t>Dave Kellermeyer</w:t>
            </w:r>
          </w:p>
          <w:p>
            <w:pPr>
              <w:pStyle w:val="Normal"/>
              <w:tabs>
                <w:tab w:val="left" w:pos="-1440" w:leader="none"/>
                <w:tab w:val="left" w:pos="-720" w:leader="none"/>
                <w:tab w:val="left" w:pos="-120" w:leader="none"/>
                <w:tab w:val="left" w:pos="720" w:leader="none"/>
              </w:tabs>
              <w:spacing w:before="0" w:after="58"/>
              <w:rPr>
                <w:sz w:val="20"/>
              </w:rPr>
            </w:pPr>
            <w:r>
              <w:rPr>
                <w:sz w:val="20"/>
              </w:rPr>
              <w:t>Note: Do we have access to, or can Westinghouse provide operating curve profiles for our turbine models and for these conditions? If yes, then this should be our answer!!</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emissions compliance testing conducted in accordance with NSPS and Permit to Construct and any emissions testing to validate equipment warranties.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of the Performance Test Report conducted by McHale &amp; Associates prior to commissioning the turbines has been placed in the data room. Due to economic reasons, the EPA accepted this report as conditional demonstration of compliance with NSPS Subpart GG, pending a complete NSPS compliance demonstration to be conducted by January 30, 2001 during CEMS certification.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plant monitoring data for fuel nitrogen and sulfur content.</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The plant has not sampled for fuel nitrogen and sulfur content in natural gas. The plant relied on sampling data generated by the natural gas supplier to ensure compliance with the NSPS requirements. The plant also has an approval from the EPA to conduct sulfur sampling on a semi-annual basis. </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water-to-fuel ratio data during all operating hours.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provided by </w:t>
            </w:r>
            <w:r>
              <w:rPr>
                <w:b/>
                <w:bCs/>
                <w:sz w:val="20"/>
              </w:rPr>
              <w:t>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Title 5 application submitted to IDEM.</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application has not been submitted. The due date for this application is April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Phase II Acid Rain Application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of this application will be placed in the data room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results of CEM certification.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CEMS have not been certified. The EPA has approved an extension of the deadline until January 30,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stack gas stratification issues.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While attempting to certify the CEMS on August 7, 2000 within 90 days from commencement of commercial operation, we conducted a stratification check on units 1 and 2. One probe location on the edge of the stack indicated high oxygen and low CO and NOx readings. A copy of the stratification emissions report has been placed in the data room. An investigation of the stratification problem has not yet been conducted. The EPA, however, has given an approval to delay the CEMS certification until January 30, 2001, and of a procedure to certify the CEMS despite stratification.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NOx, CO2 and CO CEM reports for all operating hours, including ppm, #/hr, #/mmBtu and cumulative TPY.</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provided </w:t>
            </w:r>
            <w:r>
              <w:rPr>
                <w:b/>
                <w:bCs/>
                <w:sz w:val="20"/>
              </w:rPr>
              <w:t>by 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Standard Operating Procedures and QA/QC manual.</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provided </w:t>
            </w:r>
            <w:r>
              <w:rPr>
                <w:b/>
                <w:bCs/>
                <w:sz w:val="20"/>
              </w:rPr>
              <w:t>by 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on initiation of water injection after startup (i.e. when water injection can be safely initiated).</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provided </w:t>
            </w:r>
            <w:r>
              <w:rPr>
                <w:b/>
                <w:bCs/>
                <w:sz w:val="20"/>
              </w:rPr>
              <w:t>by 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Preventive Maintenance Plan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provided </w:t>
            </w:r>
            <w:r>
              <w:rPr>
                <w:b/>
                <w:bCs/>
                <w:sz w:val="20"/>
              </w:rPr>
              <w:t>by 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Compliance Response Plan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provided </w:t>
            </w:r>
            <w:r>
              <w:rPr>
                <w:b/>
                <w:bCs/>
                <w:sz w:val="20"/>
              </w:rPr>
              <w:t>by 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SPCC Plan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SPCC plan is still in development. The anticipated completion date is November 30, 2000</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Affidavit of Construction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provided by </w:t>
            </w:r>
            <w:r>
              <w:rPr>
                <w:b/>
                <w:bCs/>
                <w:sz w:val="20"/>
              </w:rPr>
              <w:t>Dave Kellermeyer</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Operation Permit Validation letter.</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permit application has not been submitted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revision to the Permit to Construct dated 3-13-00.</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pPr>
            <w:r>
              <w:rPr>
                <w:b/>
                <w:bCs/>
                <w:sz w:val="20"/>
              </w:rPr>
              <w:t>Dave</w:t>
            </w:r>
            <w:r>
              <w:rPr>
                <w:sz w:val="20"/>
              </w:rPr>
              <w:t xml:space="preserve"> is to provide copy of the letter to the State</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potable water supply agreement.</w:t>
            </w:r>
          </w:p>
        </w:tc>
        <w:tc>
          <w:tcPr>
            <w:tcW w:w="8280" w:type="dxa"/>
            <w:tcBorders>
              <w:start w:val="single" w:sz="4" w:space="0" w:color="000000"/>
              <w:end w:val="single" w:sz="6" w:space="0" w:color="000000"/>
            </w:tcBorders>
            <w:vAlign w:val="center"/>
          </w:tcPr>
          <w:p>
            <w:pPr>
              <w:pStyle w:val="Heading6"/>
              <w:spacing w:before="0" w:after="58"/>
              <w:ind w:hanging="0" w:start="0"/>
              <w:rPr>
                <w:bCs/>
              </w:rPr>
            </w:pPr>
            <w:r>
              <w:rPr>
                <w:bCs/>
              </w:rPr>
              <w:t>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data on local water supplies, including well logs of local wells.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b/>
                <w:bCs/>
                <w:sz w:val="20"/>
              </w:rPr>
              <w:t>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Phase II environmental assessments conducted on any properties included in this transaction.</w:t>
            </w:r>
          </w:p>
        </w:tc>
        <w:tc>
          <w:tcPr>
            <w:tcW w:w="8280" w:type="dxa"/>
            <w:tcBorders>
              <w:start w:val="single" w:sz="4" w:space="0" w:color="000000"/>
              <w:end w:val="single" w:sz="6" w:space="0" w:color="000000"/>
            </w:tcBorders>
            <w:vAlign w:val="center"/>
          </w:tcPr>
          <w:p>
            <w:pPr>
              <w:pStyle w:val="Heading6"/>
              <w:spacing w:before="0" w:after="58"/>
              <w:ind w:hanging="0" w:start="0"/>
              <w:rPr>
                <w:bCs/>
              </w:rPr>
            </w:pPr>
            <w:r>
              <w:rPr>
                <w:bCs/>
              </w:rPr>
              <w:t>Dave</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detail on any zoning restrictions related to stack height or noise.</w:t>
            </w:r>
          </w:p>
        </w:tc>
        <w:tc>
          <w:tcPr>
            <w:tcW w:w="8280" w:type="dxa"/>
            <w:tcBorders>
              <w:start w:val="single" w:sz="4" w:space="0" w:color="000000"/>
              <w:end w:val="single" w:sz="6" w:space="0" w:color="000000"/>
            </w:tcBorders>
            <w:vAlign w:val="center"/>
          </w:tcPr>
          <w:p>
            <w:pPr>
              <w:pStyle w:val="Heading6"/>
              <w:spacing w:before="0" w:after="58"/>
              <w:ind w:hanging="0" w:start="0"/>
              <w:rPr>
                <w:bCs/>
              </w:rPr>
            </w:pPr>
            <w:r>
              <w:rPr>
                <w:bCs/>
              </w:rPr>
              <w:t>Dave, Chris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 quality analyses of water withdrawn from lake.</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provided by </w:t>
            </w:r>
            <w:r>
              <w:rPr>
                <w:b/>
                <w:bCs/>
                <w:sz w:val="20"/>
              </w:rPr>
              <w:t>Chris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water quality control procedures, including methods for pH and conductivity adjustments.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Dave, Chris, Norris Harrington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raw water filtering requirements, prior to demineralization.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Dave, Chris, Norris Harrington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custom schedule request to USEPA.</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has been placed in the data room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costs associated with operation and maintenance of CEMs including annual RATA testing, calibration gases, spare parts, etc.</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Clean Air Engineering is retained under contract to conduct quarterly linearity checks and annual RATA’s. A copy of this contract has been placed in the data room. There has not been enough run time to obtain an accurate cost assessment</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contract with Ecolochem for demineralization of water.</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warranty agreement with CISCO.</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Chris Norris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determination of SARA reporting requirements under 311 and 312.</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It is our assessment that we do not hold any SARA chemical in quantities greater than 10,000 lbs. SARA reporting is not required. Additionally, this plant began operation in April 2000. The first SARA report, if applicable, is not due until July 1,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need for a mercaptan  odorizing station.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Chris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hydrologic studies performed at the associated properties.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Chris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schedule of all environmental, health and safety required training and associated procedures.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An environmental compliance matrix and a calendar for this site have been placed in the data room</w:t>
            </w:r>
          </w:p>
        </w:tc>
      </w:tr>
      <w:tr>
        <w:trPr>
          <w:trHeight w:val="630" w:hRule="atLeast"/>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maximum water withdrawal rates from the lake reservoir and explain any limitations.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Chris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attachments to Section 3 of the Monitoring Plan, including the natural gas sulfur content documentation and flue flow meter documentation.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Chris – please provide copies of the fuel flow meters maufacturer’s certifications and check to see if we had conducted sulfur sampling in support of the monitoring plan. </w:t>
            </w:r>
          </w:p>
          <w:p>
            <w:pPr>
              <w:pStyle w:val="Normal"/>
              <w:tabs>
                <w:tab w:val="left" w:pos="-1440" w:leader="none"/>
                <w:tab w:val="left" w:pos="-720" w:leader="none"/>
                <w:tab w:val="left" w:pos="-120" w:leader="none"/>
                <w:tab w:val="left" w:pos="720" w:leader="none"/>
              </w:tabs>
              <w:spacing w:before="0" w:after="58"/>
              <w:rPr>
                <w:sz w:val="20"/>
              </w:rPr>
            </w:pPr>
            <w:r>
              <w:rPr>
                <w:sz w:val="20"/>
              </w:rPr>
              <w:t>Dave! Do you know if those were included with the submital?</w:t>
            </w:r>
          </w:p>
          <w:p>
            <w:pPr>
              <w:pStyle w:val="Normal"/>
              <w:tabs>
                <w:tab w:val="left" w:pos="-1440" w:leader="none"/>
                <w:tab w:val="left" w:pos="-720" w:leader="none"/>
                <w:tab w:val="left" w:pos="-120" w:leader="none"/>
                <w:tab w:val="left" w:pos="720" w:leader="none"/>
              </w:tabs>
              <w:spacing w:before="0" w:after="58"/>
              <w:rPr>
                <w:sz w:val="20"/>
              </w:rPr>
            </w:pPr>
            <w:r>
              <w:rPr>
                <w:sz w:val="20"/>
              </w:rPr>
              <w:t>With the delay in CEMs certification until January 30, 2001, we have until December 15, 2000 to submit a revised monitoring plan with the appropriate attachements</w:t>
            </w:r>
          </w:p>
        </w:tc>
      </w:tr>
      <w:tr>
        <w:trPr/>
        <w:tc>
          <w:tcPr>
            <w:tcW w:w="630" w:type="dxa"/>
            <w:tcBorders>
              <w:start w:val="single" w:sz="6" w:space="0" w:color="000000"/>
              <w:bottom w:val="single" w:sz="6" w:space="0" w:color="000000"/>
              <w:end w:val="single" w:sz="6" w:space="0" w:color="000000"/>
            </w:tcBorders>
            <w:vAlign w:val="center"/>
          </w:tcPr>
          <w:p>
            <w:pPr>
              <w:pStyle w:val="QuickA"/>
              <w:numPr>
                <w:ilvl w:val="0"/>
                <w:numId w:val="0"/>
              </w:numPr>
              <w:ind w:hanging="0" w:start="0"/>
              <w:rPr>
                <w:sz w:val="20"/>
              </w:rPr>
            </w:pPr>
            <w:r>
              <w:rPr>
                <w:sz w:val="20"/>
              </w:rPr>
              <w:t>4.35</w:t>
            </w:r>
          </w:p>
        </w:tc>
        <w:tc>
          <w:tcPr>
            <w:tcW w:w="5220" w:type="dxa"/>
            <w:tcBorders>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of the CO CEM system, including equipment and calculation method.</w:t>
            </w:r>
          </w:p>
        </w:tc>
        <w:tc>
          <w:tcPr>
            <w:tcW w:w="8280" w:type="dxa"/>
            <w:tcBorders>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Chris to provide copy of the CO CEMS Quality Assurance Plan from CISCO</w:t>
            </w:r>
          </w:p>
        </w:tc>
      </w:tr>
    </w:tbl>
    <w:p>
      <w:pPr>
        <w:pStyle w:val="Header"/>
        <w:tabs>
          <w:tab w:val="clear" w:pos="4320"/>
          <w:tab w:val="clear" w:pos="8640"/>
        </w:tabs>
        <w:ind w:end="684"/>
        <w:rPr>
          <w:sz w:val="20"/>
        </w:rPr>
      </w:pPr>
      <w:r>
        <w:rPr>
          <w:sz w:val="20"/>
        </w:rPr>
      </w:r>
    </w:p>
    <w:sectPr>
      <w:headerReference w:type="default" r:id="rId2"/>
      <w:footerReference w:type="default" r:id="rId3"/>
      <w:type w:val="nextPage"/>
      <w:pgSz w:orient="landscape" w:w="15840" w:h="12240"/>
      <w:pgMar w:left="1008" w:right="1008" w:gutter="0" w:header="1440" w:top="1496"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480" w:leader="none"/>
        <w:tab w:val="right" w:pos="9360" w:leader="none"/>
      </w:tabs>
      <w:rPr>
        <w:sz w:val="20"/>
      </w:rPr>
    </w:pPr>
    <w:r>
      <w:rPr>
        <w:sz w:val="20"/>
      </w:rPr>
      <w:t>Status Legend:  A = Actual date received, P = Partial Response Received</w:t>
    </w:r>
  </w:p>
  <w:p>
    <w:pPr>
      <w:pStyle w:val="Normal"/>
      <w:tabs>
        <w:tab w:val="clear" w:pos="720"/>
        <w:tab w:val="left" w:pos="6480" w:leader="none"/>
        <w:tab w:val="right" w:pos="9360" w:leader="none"/>
      </w:tabs>
      <w:rPr>
        <w:sz w:val="20"/>
      </w:rPr>
    </w:pPr>
    <w:r>
      <w:rPr>
        <w:sz w:val="20"/>
      </w:rPr>
    </w:r>
  </w:p>
  <w:p>
    <w:pPr>
      <w:pStyle w:val="Normal"/>
      <w:tabs>
        <w:tab w:val="clear" w:pos="720"/>
        <w:tab w:val="left" w:pos="6480" w:leader="none"/>
        <w:tab w:val="right" w:pos="9360" w:leader="none"/>
      </w:tabs>
      <w:rPr>
        <w:sz w:val="20"/>
      </w:rPr>
    </w:pPr>
    <w:r>
      <w:rPr>
        <w:sz w:val="20"/>
      </w:rPr>
      <w:fldChar w:fldCharType="begin"/>
    </w:r>
    <w:r>
      <w:rPr>
        <w:sz w:val="20"/>
      </w:rPr>
      <w:instrText xml:space="preserve"> FILENAME </w:instrText>
    </w:r>
    <w:r>
      <w:rPr>
        <w:sz w:val="20"/>
      </w:rPr>
      <w:fldChar w:fldCharType="separate"/>
    </w:r>
    <w:r>
      <w:rPr>
        <w:sz w:val="20"/>
      </w:rPr>
      <w:t>DPL_Wheatland-7caed34be5f7edca139a2dc9f945587acb51d408defff16f04062188231c2af5.doc</w:t>
    </w:r>
    <w:r>
      <w:rPr>
        <w:sz w:val="20"/>
      </w:rPr>
      <w:fldChar w:fldCharType="end"/>
    </w:r>
  </w:p>
  <w:p>
    <w:pPr>
      <w:pStyle w:val="Normal"/>
      <w:tabs>
        <w:tab w:val="clear" w:pos="720"/>
        <w:tab w:val="left" w:pos="6480" w:leader="none"/>
        <w:tab w:val="right" w:pos="9360" w:leader="none"/>
      </w:tabs>
      <w:rPr/>
    </w:pPr>
    <w:r>
      <w:rPr>
        <w:sz w:val="20"/>
      </w:rPr>
      <w:fldChar w:fldCharType="begin"/>
    </w:r>
    <w:r>
      <w:rPr>
        <w:sz w:val="20"/>
      </w:rPr>
      <w:instrText xml:space="preserve"> DATE \@"MM\/dd\/yy" </w:instrText>
    </w:r>
    <w:r>
      <w:rPr>
        <w:sz w:val="20"/>
      </w:rPr>
      <w:fldChar w:fldCharType="separate"/>
    </w:r>
    <w:r>
      <w:rPr>
        <w:sz w:val="20"/>
      </w:rPr>
      <w:t>09/28/25</w:t>
    </w:r>
    <w:r>
      <w:rPr>
        <w:sz w:val="20"/>
      </w:rPr>
      <w:fldChar w:fldCharType="end"/>
    </w:r>
    <w:r>
      <w:rPr>
        <w:sz w:val="20"/>
      </w:rPr>
      <w:tab/>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Confidential and Proprietary</w:t>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lvlText w:val="0.%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firstLine="1260" w:start="9360" w:end="-990"/>
      <w:outlineLvl w:val="0"/>
    </w:pPr>
    <w:rPr>
      <w:b/>
      <w:sz w:val="20"/>
    </w:rPr>
  </w:style>
  <w:style w:type="paragraph" w:styleId="Heading2">
    <w:name w:val="heading 2"/>
    <w:basedOn w:val="Normal"/>
    <w:next w:val="Normal"/>
    <w:qFormat/>
    <w:pPr>
      <w:keepNext w:val="true"/>
      <w:numPr>
        <w:ilvl w:val="1"/>
        <w:numId w:val="1"/>
      </w:numPr>
      <w:tabs>
        <w:tab w:val="clear" w:pos="720"/>
        <w:tab w:val="center" w:pos="6480" w:leader="none"/>
      </w:tabs>
      <w:jc w:val="center"/>
      <w:outlineLvl w:val="1"/>
    </w:pPr>
    <w:rPr>
      <w:b/>
      <w:sz w:val="28"/>
    </w:rPr>
  </w:style>
  <w:style w:type="paragraph" w:styleId="Heading3">
    <w:name w:val="heading 3"/>
    <w:basedOn w:val="Normal"/>
    <w:next w:val="Normal"/>
    <w:qFormat/>
    <w:pPr>
      <w:keepNext w:val="true"/>
      <w:numPr>
        <w:ilvl w:val="2"/>
        <w:numId w:val="1"/>
      </w:numPr>
      <w:ind w:firstLine="1260" w:start="9360" w:end="0"/>
      <w:jc w:val="both"/>
      <w:outlineLvl w:val="2"/>
    </w:pPr>
    <w:rPr>
      <w:b/>
      <w:sz w:val="20"/>
    </w:rPr>
  </w:style>
  <w:style w:type="paragraph" w:styleId="Heading4">
    <w:name w:val="heading 4"/>
    <w:basedOn w:val="Normal"/>
    <w:next w:val="Normal"/>
    <w:qFormat/>
    <w:pPr>
      <w:keepNext w:val="true"/>
      <w:numPr>
        <w:ilvl w:val="3"/>
        <w:numId w:val="1"/>
      </w:numPr>
      <w:jc w:val="center"/>
      <w:outlineLvl w:val="3"/>
    </w:pPr>
    <w:rPr>
      <w:b/>
      <w:sz w:val="40"/>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tabs>
        <w:tab w:val="left" w:pos="-1440" w:leader="none"/>
        <w:tab w:val="left" w:pos="-720" w:leader="none"/>
        <w:tab w:val="left" w:pos="-120" w:leader="none"/>
        <w:tab w:val="left" w:pos="720" w:leader="none"/>
      </w:tabs>
      <w:spacing w:before="0" w:after="58"/>
      <w:outlineLvl w:val="5"/>
    </w:pPr>
    <w:rPr>
      <w:b/>
      <w:sz w:val="20"/>
    </w:rPr>
  </w:style>
  <w:style w:type="paragraph" w:styleId="Heading7">
    <w:name w:val="heading 7"/>
    <w:basedOn w:val="Normal"/>
    <w:next w:val="Normal"/>
    <w:qFormat/>
    <w:pPr>
      <w:keepNext w:val="true"/>
      <w:numPr>
        <w:ilvl w:val="6"/>
        <w:numId w:val="1"/>
      </w:numPr>
      <w:tabs>
        <w:tab w:val="left" w:pos="-1440" w:leader="none"/>
        <w:tab w:val="left" w:pos="-720" w:leader="none"/>
        <w:tab w:val="left" w:pos="-120" w:leader="none"/>
        <w:tab w:val="left" w:pos="720" w:leader="none"/>
      </w:tabs>
      <w:ind w:hanging="5040" w:start="5760" w:end="0"/>
      <w:outlineLvl w:val="6"/>
    </w:pPr>
    <w:rPr>
      <w:b/>
      <w:sz w:val="16"/>
    </w:rPr>
  </w:style>
  <w:style w:type="paragraph" w:styleId="Heading8">
    <w:name w:val="heading 8"/>
    <w:basedOn w:val="Normal"/>
    <w:next w:val="Normal"/>
    <w:qFormat/>
    <w:pPr>
      <w:keepNext w:val="true"/>
      <w:numPr>
        <w:ilvl w:val="7"/>
        <w:numId w:val="1"/>
      </w:numPr>
      <w:tabs>
        <w:tab w:val="left" w:pos="-1440" w:leader="none"/>
        <w:tab w:val="left" w:pos="-720" w:leader="none"/>
        <w:tab w:val="left" w:pos="-120" w:leader="none"/>
        <w:tab w:val="left" w:pos="720" w:leader="none"/>
      </w:tabs>
      <w:spacing w:before="0" w:after="58"/>
      <w:jc w:val="center"/>
      <w:outlineLvl w:val="7"/>
    </w:pPr>
    <w:rPr>
      <w:i/>
      <w:sz w:val="20"/>
    </w:rPr>
  </w:style>
  <w:style w:type="paragraph" w:styleId="Heading9">
    <w:name w:val="heading 9"/>
    <w:basedOn w:val="Normal"/>
    <w:next w:val="Normal"/>
    <w:qFormat/>
    <w:pPr>
      <w:keepNext w:val="true"/>
      <w:numPr>
        <w:ilvl w:val="8"/>
        <w:numId w:val="1"/>
      </w:numPr>
      <w:tabs>
        <w:tab w:val="clear" w:pos="720"/>
        <w:tab w:val="center" w:pos="6480" w:leader="none"/>
      </w:tabs>
      <w:outlineLvl w:val="8"/>
    </w:pPr>
    <w:rPr>
      <w:b/>
      <w:sz w:val="28"/>
    </w:rPr>
  </w:style>
  <w:style w:type="character" w:styleId="WW8Num4z0">
    <w:name w:val="WW8Num4z0"/>
    <w:qFormat/>
    <w:rPr>
      <w:b/>
    </w:rPr>
  </w:style>
  <w:style w:type="character" w:styleId="WW8Num5z0">
    <w:name w:val="WW8Num5z0"/>
    <w:qFormat/>
    <w:rPr/>
  </w:style>
  <w:style w:type="character" w:styleId="WW8Num8z0">
    <w:name w:val="WW8Num8z0"/>
    <w:qFormat/>
    <w:rPr>
      <w:rFonts w:ascii="Times New Roman" w:hAnsi="Times New Roman" w:cs="Times New Roman"/>
      <w:b w:val="false"/>
      <w:i w:val="false"/>
      <w:sz w:val="24"/>
      <w:u w:val="none"/>
    </w:rPr>
  </w:style>
  <w:style w:type="character" w:styleId="WW8Num11z0">
    <w:name w:val="WW8Num11z0"/>
    <w:qFormat/>
    <w:rPr>
      <w:rFonts w:ascii="Times New Roman" w:hAnsi="Times New Roman" w:cs="Times New Roman"/>
      <w:b w:val="false"/>
      <w:i w:val="false"/>
      <w:sz w:val="24"/>
      <w:u w:val="none"/>
    </w:rPr>
  </w:style>
  <w:style w:type="character" w:styleId="WW8Num12z0">
    <w:name w:val="WW8Num12z0"/>
    <w:qFormat/>
    <w:rPr>
      <w:rFonts w:ascii="Wingdings" w:hAnsi="Wingdings" w:cs="Wingdings"/>
    </w:rPr>
  </w:style>
  <w:style w:type="character" w:styleId="WW8Num22z0">
    <w:name w:val="WW8Num22z0"/>
    <w:qFormat/>
    <w:rPr>
      <w:b/>
    </w:rPr>
  </w:style>
  <w:style w:type="character" w:styleId="WW8Num23z0">
    <w:name w:val="WW8Num23z0"/>
    <w:qFormat/>
    <w:rPr>
      <w:rFonts w:ascii="Times New Roman" w:hAnsi="Times New Roman" w:cs="Times New Roman"/>
      <w:b w:val="false"/>
      <w:i w:val="false"/>
      <w:sz w:val="24"/>
      <w:u w:val="none"/>
    </w:rPr>
  </w:style>
  <w:style w:type="character" w:styleId="WW8Num24z0">
    <w:name w:val="WW8Num24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20" w:leader="none"/>
        <w:tab w:val="left" w:pos="240" w:leader="none"/>
        <w:tab w:val="left" w:pos="510" w:leader="none"/>
        <w:tab w:val="left" w:pos="2160" w:leader="none"/>
      </w:tabs>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QuickA">
    <w:name w:val="Quick A."/>
    <w:basedOn w:val="Normal"/>
    <w:qFormat/>
    <w:pPr>
      <w:numPr>
        <w:ilvl w:val="0"/>
        <w:numId w:val="2"/>
      </w:numPr>
    </w:pPr>
    <w:rPr/>
  </w:style>
  <w:style w:type="paragraph" w:styleId="BodyTextIndent">
    <w:name w:val="Body Text Indent"/>
    <w:basedOn w:val="Normal"/>
    <w:pPr>
      <w:tabs>
        <w:tab w:val="clear" w:pos="720"/>
        <w:tab w:val="left" w:pos="-1440" w:leader="none"/>
        <w:tab w:val="left" w:pos="-720" w:leader="none"/>
        <w:tab w:val="left" w:pos="-120" w:leader="none"/>
        <w:tab w:val="left" w:pos="240" w:leader="none"/>
        <w:tab w:val="left" w:pos="510" w:leader="none"/>
        <w:tab w:val="left" w:pos="2160" w:leader="none"/>
      </w:tabs>
      <w:ind w:hanging="270" w:start="51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2000-10-20T12:16:00Z</dcterms:created>
  <dc:creator>James D. Kopp</dc:creator>
  <dc:description/>
  <dc:language>en-CA</dc:language>
  <cp:lastModifiedBy>geghneim</cp:lastModifiedBy>
  <cp:lastPrinted>2000-10-18T17:25:00Z</cp:lastPrinted>
  <dcterms:modified xsi:type="dcterms:W3CDTF">2000-10-20T14:15:00Z</dcterms:modified>
  <cp:revision>4</cp:revision>
  <dc:subject/>
  <dc:title>Draft</dc:title>
</cp:coreProperties>
</file>