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start"/>
        <w:rPr>
          <w:b/>
        </w:rPr>
      </w:pPr>
      <w:r>
        <w:rPr>
          <w:b/>
        </w:rPr>
        <w:t>Dabhol Power Company: Talking Points</w:t>
      </w:r>
    </w:p>
    <w:p>
      <w:pPr>
        <w:pStyle w:val="BodyText"/>
        <w:jc w:val="start"/>
        <w:rPr>
          <w:b/>
        </w:rPr>
      </w:pPr>
      <w:r>
        <w:rPr>
          <w:b/>
        </w:rPr>
      </w:r>
    </w:p>
    <w:p>
      <w:pPr>
        <w:pStyle w:val="BodyText"/>
        <w:jc w:val="start"/>
        <w:rPr/>
      </w:pPr>
      <w:r>
        <w:rPr/>
        <w:t>Project:</w:t>
        <w:tab/>
        <w:t>2,184MW LNG fueled project at Dabhol in Maharashtra</w:t>
      </w:r>
    </w:p>
    <w:p>
      <w:pPr>
        <w:pStyle w:val="BodyText"/>
        <w:numPr>
          <w:ilvl w:val="0"/>
          <w:numId w:val="9"/>
        </w:numPr>
        <w:tabs>
          <w:tab w:val="clear" w:pos="720"/>
          <w:tab w:val="left" w:pos="1800" w:leader="none"/>
        </w:tabs>
        <w:ind w:hanging="360" w:start="1800" w:end="0"/>
        <w:jc w:val="start"/>
        <w:rPr/>
      </w:pPr>
      <w:r>
        <w:rPr/>
        <w:t>Owners: Enron (65%), MSEB (15%), GE (10%), Bechtel (10%)</w:t>
      </w:r>
    </w:p>
    <w:p>
      <w:pPr>
        <w:pStyle w:val="BodyText"/>
        <w:numPr>
          <w:ilvl w:val="0"/>
          <w:numId w:val="9"/>
        </w:numPr>
        <w:tabs>
          <w:tab w:val="clear" w:pos="720"/>
          <w:tab w:val="left" w:pos="1800" w:leader="none"/>
        </w:tabs>
        <w:ind w:hanging="360" w:start="1800" w:end="0"/>
        <w:jc w:val="start"/>
        <w:rPr/>
      </w:pPr>
      <w:r>
        <w:rPr/>
        <w:t>Phase I: 740MW in operation on naphtha since May 1999</w:t>
      </w:r>
    </w:p>
    <w:p>
      <w:pPr>
        <w:pStyle w:val="BodyText"/>
        <w:numPr>
          <w:ilvl w:val="0"/>
          <w:numId w:val="9"/>
        </w:numPr>
        <w:tabs>
          <w:tab w:val="clear" w:pos="720"/>
          <w:tab w:val="left" w:pos="1800" w:leader="none"/>
        </w:tabs>
        <w:ind w:hanging="360" w:start="1800" w:end="0"/>
        <w:jc w:val="start"/>
        <w:rPr/>
      </w:pPr>
      <w:r>
        <w:rPr/>
        <w:t xml:space="preserve"> </w:t>
      </w:r>
      <w:r>
        <w:rPr/>
        <w:t>Phase II: Add’l 1,444MW to go operational at end of 2001, and entire facilility converts to LNG (first LNG into India)</w:t>
      </w:r>
    </w:p>
    <w:p>
      <w:pPr>
        <w:pStyle w:val="BodyText"/>
        <w:numPr>
          <w:ilvl w:val="0"/>
          <w:numId w:val="9"/>
        </w:numPr>
        <w:tabs>
          <w:tab w:val="clear" w:pos="720"/>
          <w:tab w:val="left" w:pos="1800" w:leader="none"/>
        </w:tabs>
        <w:ind w:hanging="360" w:start="1800" w:end="0"/>
        <w:jc w:val="start"/>
        <w:rPr/>
      </w:pPr>
      <w:r>
        <w:rPr/>
        <w:t>20 year PPA with MSEB, and guarantees from GOM and GOI</w:t>
      </w:r>
    </w:p>
    <w:p>
      <w:pPr>
        <w:pStyle w:val="BodyText"/>
        <w:numPr>
          <w:ilvl w:val="0"/>
          <w:numId w:val="9"/>
        </w:numPr>
        <w:tabs>
          <w:tab w:val="clear" w:pos="720"/>
          <w:tab w:val="left" w:pos="1800" w:leader="none"/>
        </w:tabs>
        <w:ind w:hanging="360" w:start="1800" w:end="0"/>
        <w:jc w:val="start"/>
        <w:rPr/>
      </w:pPr>
      <w:r>
        <w:rPr/>
        <w:t>Capital Investment: USD 3 Billion (India’s largest foreign investment)</w:t>
      </w:r>
    </w:p>
    <w:p>
      <w:pPr>
        <w:pStyle w:val="BodyText"/>
        <w:ind w:start="1440" w:end="0"/>
        <w:jc w:val="start"/>
        <w:rPr/>
      </w:pPr>
      <w:r>
        <w:rPr/>
      </w:r>
    </w:p>
    <w:p>
      <w:pPr>
        <w:pStyle w:val="BodyText"/>
        <w:jc w:val="start"/>
        <w:rPr/>
      </w:pPr>
      <w:r>
        <w:rPr/>
      </w:r>
    </w:p>
    <w:p>
      <w:pPr>
        <w:pStyle w:val="BodyText"/>
        <w:jc w:val="start"/>
        <w:rPr/>
      </w:pPr>
      <w:r>
        <w:rPr/>
        <w:t>Challenges:</w:t>
        <w:tab/>
        <w:t>State Electricity Board financial condition weak</w:t>
      </w:r>
    </w:p>
    <w:p>
      <w:pPr>
        <w:pStyle w:val="BodyText"/>
        <w:numPr>
          <w:ilvl w:val="0"/>
          <w:numId w:val="3"/>
        </w:numPr>
        <w:tabs>
          <w:tab w:val="clear" w:pos="720"/>
          <w:tab w:val="left" w:pos="1800" w:leader="none"/>
        </w:tabs>
        <w:ind w:hanging="360" w:start="1800" w:end="0"/>
        <w:jc w:val="start"/>
        <w:rPr/>
      </w:pPr>
      <w:r>
        <w:rPr/>
        <w:t>Reforms needed quickly, both on reducing tariff cross-subsidization with agriculture and also on improved operations of MSEB</w:t>
      </w:r>
    </w:p>
    <w:p>
      <w:pPr>
        <w:pStyle w:val="BodyText"/>
        <w:numPr>
          <w:ilvl w:val="0"/>
          <w:numId w:val="3"/>
        </w:numPr>
        <w:tabs>
          <w:tab w:val="clear" w:pos="720"/>
          <w:tab w:val="left" w:pos="1800" w:leader="none"/>
        </w:tabs>
        <w:ind w:hanging="360" w:start="1800" w:end="0"/>
        <w:jc w:val="start"/>
        <w:rPr/>
      </w:pPr>
      <w:r>
        <w:rPr/>
        <w:t>Problem is rampant throughout all SEBs in country</w:t>
      </w:r>
    </w:p>
    <w:p>
      <w:pPr>
        <w:pStyle w:val="BodyText"/>
        <w:numPr>
          <w:ilvl w:val="0"/>
          <w:numId w:val="3"/>
        </w:numPr>
        <w:tabs>
          <w:tab w:val="clear" w:pos="720"/>
          <w:tab w:val="left" w:pos="1800" w:leader="none"/>
        </w:tabs>
        <w:ind w:hanging="360" w:start="1800" w:end="0"/>
        <w:jc w:val="start"/>
        <w:rPr/>
      </w:pPr>
      <w:r>
        <w:rPr/>
        <w:t>Without solution on Dabhol project, severe implications on GOM and GOI, as well as on investment climate in India</w:t>
      </w:r>
    </w:p>
    <w:p>
      <w:pPr>
        <w:pStyle w:val="BodyText"/>
        <w:jc w:val="start"/>
        <w:rPr/>
      </w:pPr>
      <w:r>
        <w:rPr/>
      </w:r>
    </w:p>
    <w:p>
      <w:pPr>
        <w:pStyle w:val="BodyText"/>
        <w:jc w:val="start"/>
        <w:rPr/>
      </w:pPr>
      <w:r>
        <w:rPr/>
        <w:t>Tariff:</w:t>
        <w:tab/>
        <w:tab/>
        <w:t xml:space="preserve">DPC tariff average since May 1999 is Rs.4.94/kwh (USD 10.5 cents/kwh). </w:t>
      </w:r>
    </w:p>
    <w:p>
      <w:pPr>
        <w:pStyle w:val="BodyText"/>
        <w:numPr>
          <w:ilvl w:val="0"/>
          <w:numId w:val="2"/>
        </w:numPr>
        <w:tabs>
          <w:tab w:val="clear" w:pos="720"/>
          <w:tab w:val="left" w:pos="1800" w:leader="none"/>
        </w:tabs>
        <w:ind w:hanging="360" w:start="1800" w:end="0"/>
        <w:jc w:val="start"/>
        <w:rPr/>
      </w:pPr>
      <w:r>
        <w:rPr/>
        <w:t>Impacted upward due to 3 factors outside DPC’s control:</w:t>
      </w:r>
    </w:p>
    <w:p>
      <w:pPr>
        <w:pStyle w:val="BodyText"/>
        <w:numPr>
          <w:ilvl w:val="0"/>
          <w:numId w:val="2"/>
        </w:numPr>
        <w:tabs>
          <w:tab w:val="clear" w:pos="720"/>
          <w:tab w:val="left" w:pos="2160" w:leader="none"/>
        </w:tabs>
        <w:ind w:hanging="360" w:start="2160" w:end="0"/>
        <w:jc w:val="start"/>
        <w:rPr/>
      </w:pPr>
      <w:r>
        <w:rPr/>
        <w:t>Int’l fuel prices have increased since May 1999 from $15 per barrel to over $35 per barrel, plus fixed 22% duty by GOI on naphtha has meant higher fuel bill for MSEB</w:t>
      </w:r>
    </w:p>
    <w:p>
      <w:pPr>
        <w:pStyle w:val="BodyText"/>
        <w:numPr>
          <w:ilvl w:val="0"/>
          <w:numId w:val="2"/>
        </w:numPr>
        <w:tabs>
          <w:tab w:val="clear" w:pos="720"/>
          <w:tab w:val="left" w:pos="2160" w:leader="none"/>
        </w:tabs>
        <w:ind w:hanging="360" w:start="2160" w:end="0"/>
        <w:jc w:val="start"/>
        <w:rPr/>
      </w:pPr>
      <w:r>
        <w:rPr/>
        <w:t>Rupee depreciation vs. US dollar – DPC tariff tied to US dollar since most capital expenses and loans are in US dollars</w:t>
      </w:r>
    </w:p>
    <w:p>
      <w:pPr>
        <w:pStyle w:val="BodyText"/>
        <w:numPr>
          <w:ilvl w:val="0"/>
          <w:numId w:val="2"/>
        </w:numPr>
        <w:tabs>
          <w:tab w:val="clear" w:pos="720"/>
          <w:tab w:val="left" w:pos="2160" w:leader="none"/>
        </w:tabs>
        <w:ind w:hanging="360" w:start="2160" w:end="0"/>
        <w:jc w:val="start"/>
        <w:rPr/>
      </w:pPr>
      <w:r>
        <w:rPr/>
        <w:t>Low dispatch of plant: PPA contemplated 90% dispatch; Actual dispatch has averaged 60%, and been as low as 33%. With lower units produced, results in higher per unit price. If dispatch had been 90%, tariff would have been Rs. 4.02/kwh, which is comparable to other new India power generating tariffs.</w:t>
      </w:r>
    </w:p>
    <w:p>
      <w:pPr>
        <w:pStyle w:val="BodyText"/>
        <w:jc w:val="start"/>
        <w:rPr/>
      </w:pPr>
      <w:r>
        <w:rPr/>
      </w:r>
    </w:p>
    <w:p>
      <w:pPr>
        <w:pStyle w:val="BodyText"/>
        <w:jc w:val="start"/>
        <w:rPr/>
      </w:pPr>
      <w:r>
        <w:rPr/>
        <w:t>Phase II Tariff:    Upon conversion to LNG (January 2002), tariff to drop</w:t>
      </w:r>
    </w:p>
    <w:p>
      <w:pPr>
        <w:pStyle w:val="BodyText"/>
        <w:numPr>
          <w:ilvl w:val="0"/>
          <w:numId w:val="8"/>
        </w:numPr>
        <w:tabs>
          <w:tab w:val="clear" w:pos="720"/>
          <w:tab w:val="left" w:pos="1800" w:leader="none"/>
        </w:tabs>
        <w:ind w:hanging="360" w:start="1800" w:end="0"/>
        <w:jc w:val="start"/>
        <w:rPr/>
      </w:pPr>
      <w:r>
        <w:rPr/>
        <w:t>Rs.3.3 to 3.7/kwh, depending on fuel price (assumed between $21 and 28 per barrel), rupee/dollar exchange rate, and dispatch level of 90% as contemplated by PPA</w:t>
      </w:r>
    </w:p>
    <w:p>
      <w:pPr>
        <w:pStyle w:val="BodyText"/>
        <w:rPr/>
      </w:pPr>
      <w:r>
        <w:rPr/>
      </w:r>
    </w:p>
    <w:p>
      <w:pPr>
        <w:pStyle w:val="BodyText"/>
        <w:rPr/>
      </w:pPr>
      <w:r>
        <w:rPr/>
        <w:t>Central Gov’t:</w:t>
        <w:tab/>
        <w:t xml:space="preserve">   Involvement is key</w:t>
      </w:r>
    </w:p>
    <w:p>
      <w:pPr>
        <w:pStyle w:val="BodyText"/>
        <w:numPr>
          <w:ilvl w:val="0"/>
          <w:numId w:val="6"/>
        </w:numPr>
        <w:tabs>
          <w:tab w:val="clear" w:pos="720"/>
          <w:tab w:val="left" w:pos="1800" w:leader="none"/>
        </w:tabs>
        <w:ind w:hanging="360" w:start="1800" w:end="0"/>
        <w:rPr/>
      </w:pPr>
      <w:r>
        <w:rPr/>
        <w:t>They have significant liability through existing guarantees</w:t>
      </w:r>
    </w:p>
    <w:p>
      <w:pPr>
        <w:pStyle w:val="BodyText"/>
        <w:numPr>
          <w:ilvl w:val="0"/>
          <w:numId w:val="6"/>
        </w:numPr>
        <w:tabs>
          <w:tab w:val="clear" w:pos="720"/>
          <w:tab w:val="left" w:pos="1800" w:leader="none"/>
        </w:tabs>
        <w:ind w:hanging="360" w:start="1800" w:end="0"/>
        <w:rPr/>
      </w:pPr>
      <w:r>
        <w:rPr/>
        <w:t>Country still needs power supply</w:t>
      </w:r>
    </w:p>
    <w:p>
      <w:pPr>
        <w:pStyle w:val="BodyText"/>
        <w:numPr>
          <w:ilvl w:val="0"/>
          <w:numId w:val="6"/>
        </w:numPr>
        <w:tabs>
          <w:tab w:val="clear" w:pos="720"/>
          <w:tab w:val="left" w:pos="1800" w:leader="none"/>
        </w:tabs>
        <w:ind w:hanging="360" w:start="1800" w:end="0"/>
        <w:rPr/>
      </w:pPr>
      <w:r>
        <w:rPr/>
        <w:t>Default on Dabhol would hurt already minimal foreign investment in power sector</w:t>
      </w:r>
    </w:p>
    <w:p>
      <w:pPr>
        <w:pStyle w:val="BodyText"/>
        <w:numPr>
          <w:ilvl w:val="0"/>
          <w:numId w:val="7"/>
        </w:numPr>
        <w:tabs>
          <w:tab w:val="clear" w:pos="720"/>
          <w:tab w:val="left" w:pos="1800" w:leader="none"/>
        </w:tabs>
        <w:ind w:hanging="360" w:start="1800" w:end="0"/>
        <w:rPr/>
      </w:pPr>
      <w:r>
        <w:rPr/>
        <w:t>Either NTPC or PTC could step in and take DPC power directly from MSEB and distribute as and where the GOI needs it</w:t>
      </w:r>
    </w:p>
    <w:p>
      <w:pPr>
        <w:pStyle w:val="BodyText"/>
        <w:rPr/>
      </w:pPr>
      <w:r>
        <w:rPr/>
      </w:r>
    </w:p>
    <w:p>
      <w:pPr>
        <w:pStyle w:val="BodyText"/>
        <w:jc w:val="start"/>
        <w:rPr>
          <w:b/>
          <w:u w:val="single"/>
        </w:rPr>
      </w:pPr>
      <w:r>
        <w:rPr/>
        <w:t>DPC and Enron ready to find solutions, taking into account the restrictions of existing contracts which we have honored and the requirements of our lenders, fuel suppliers and shareholders.</w:t>
      </w:r>
      <w:r>
        <w:br w:type="page"/>
      </w:r>
    </w:p>
    <w:p>
      <w:pPr>
        <w:pStyle w:val="BodyText"/>
        <w:jc w:val="start"/>
        <w:rPr>
          <w:b/>
          <w:u w:val="single"/>
        </w:rPr>
      </w:pPr>
      <w:r>
        <w:rPr>
          <w:b/>
          <w:u w:val="single"/>
        </w:rPr>
      </w:r>
    </w:p>
    <w:p>
      <w:pPr>
        <w:pStyle w:val="BodyText"/>
        <w:jc w:val="center"/>
        <w:rPr>
          <w:b/>
          <w:u w:val="single"/>
        </w:rPr>
      </w:pPr>
      <w:r>
        <w:rPr>
          <w:b/>
          <w:u w:val="single"/>
        </w:rPr>
        <w:t>Dabhol Power Company</w:t>
      </w:r>
    </w:p>
    <w:p>
      <w:pPr>
        <w:pStyle w:val="BodyText"/>
        <w:jc w:val="center"/>
        <w:rPr>
          <w:b/>
          <w:u w:val="single"/>
        </w:rPr>
      </w:pPr>
      <w:r>
        <w:rPr>
          <w:b/>
          <w:u w:val="single"/>
        </w:rPr>
        <w:t>Status: December 2000</w:t>
      </w:r>
    </w:p>
    <w:p>
      <w:pPr>
        <w:pStyle w:val="BodyText"/>
        <w:jc w:val="center"/>
        <w:rPr>
          <w:b/>
          <w:u w:val="single"/>
        </w:rPr>
      </w:pPr>
      <w:r>
        <w:rPr>
          <w:b/>
          <w:u w:val="single"/>
        </w:rPr>
      </w:r>
    </w:p>
    <w:p>
      <w:pPr>
        <w:pStyle w:val="BodyText"/>
        <w:rPr>
          <w:b/>
          <w:u w:val="single"/>
        </w:rPr>
      </w:pPr>
      <w:r>
        <w:rPr>
          <w:b/>
          <w:u w:val="single"/>
        </w:rPr>
      </w:r>
    </w:p>
    <w:p>
      <w:pPr>
        <w:pStyle w:val="BodyText"/>
        <w:rPr>
          <w:b/>
          <w:u w:val="single"/>
        </w:rPr>
      </w:pPr>
      <w:r>
        <w:rPr>
          <w:b/>
          <w:u w:val="single"/>
        </w:rPr>
        <w:t>Introduction</w:t>
      </w:r>
    </w:p>
    <w:p>
      <w:pPr>
        <w:pStyle w:val="BodyText"/>
        <w:rPr>
          <w:b/>
          <w:u w:val="single"/>
        </w:rPr>
      </w:pPr>
      <w:r>
        <w:rPr>
          <w:b/>
          <w:u w:val="single"/>
        </w:rPr>
      </w:r>
    </w:p>
    <w:p>
      <w:pPr>
        <w:pStyle w:val="BodyText"/>
        <w:rPr/>
      </w:pPr>
      <w:r>
        <w:rPr/>
        <w:t>Dabhol Power Company (DPC), which is jointly-owned by Enron, Maharashtra State Electricity Board (MSEB), GE, and Bechtel, is setting up an integrated energy complex at Dabhol in Maharashtra and has entered into a 20 year Power Purchase Agreement with MSEB. The Project includes a 2184 MW gas based Independent Power Project (IPP), an LNG terminal and associated regassification facilities and entails a total capital outlay of about US$ 3 billion. Both the State of Maharashtra and the central Gov’t of India have provided guarantees of MSEB’s obligations under the PPA. The project has been closely scrutinized and approved by various governments at the State and Center, at various points in time, and by several governmental agencies including MSEB, Central Electricity Authority and other statutory agencies.</w:t>
      </w:r>
    </w:p>
    <w:p>
      <w:pPr>
        <w:pStyle w:val="BodyText"/>
        <w:rPr/>
      </w:pPr>
      <w:r>
        <w:rPr/>
      </w:r>
    </w:p>
    <w:p>
      <w:pPr>
        <w:pStyle w:val="BodyText"/>
        <w:rPr/>
      </w:pPr>
      <w:r>
        <w:rPr/>
        <w:t>Currently, Phase I of the Project (740 MW) is under operation with naphtha as fuel. The remaining capacity of 1,444 MW (Phase II) is under construction and is expected to be fully operational by the end of 2001, subsequent to which the entire project would use LNG as fuel.</w:t>
      </w:r>
    </w:p>
    <w:p>
      <w:pPr>
        <w:pStyle w:val="BodyText"/>
        <w:rPr/>
      </w:pPr>
      <w:r>
        <w:rPr/>
      </w:r>
    </w:p>
    <w:p>
      <w:pPr>
        <w:pStyle w:val="BodyText"/>
        <w:rPr>
          <w:b/>
          <w:u w:val="single"/>
        </w:rPr>
      </w:pPr>
      <w:r>
        <w:rPr>
          <w:b/>
          <w:u w:val="single"/>
        </w:rPr>
        <w:t>Challenges Faced by the Project</w:t>
      </w:r>
    </w:p>
    <w:p>
      <w:pPr>
        <w:pStyle w:val="BodyText"/>
        <w:rPr>
          <w:b/>
          <w:u w:val="single"/>
        </w:rPr>
      </w:pPr>
      <w:r>
        <w:rPr>
          <w:b/>
          <w:u w:val="single"/>
        </w:rPr>
      </w:r>
    </w:p>
    <w:p>
      <w:pPr>
        <w:pStyle w:val="BodyText"/>
        <w:rPr/>
      </w:pPr>
      <w:r>
        <w:rPr/>
        <w:t>MSEB, the purchaser of DPC’s power, is currently facing a financial crunch, due to a multitude of factors, which have been commonly afflicting most State Electricity Boards (SEBs) in India. Accordingly, while from a demand-supply perspective, MSEB would require the additional power generation from Phase II of DPC, it is unlikely to be in a position to absorb the financial burden arising from Phase II of the Project.  Improvement in MSEB’s financial position is expected only in the medium term over a 4-5 year period, and is contingent upon the pace of reforms and an increase in the industrial demand for power in the state. It is, therefore, imperative to find a solution to this problem faced by MSEB, as the consequences of non-payment by MSEB shall be severe on GOM and GOI (due to the significant financial obligations on GOM and GOI under the respective guarantees), and will also affect the flow of Foreign Direct Investments into India and the international perception of India as an investment site.</w:t>
      </w:r>
    </w:p>
    <w:p>
      <w:pPr>
        <w:pStyle w:val="Normal"/>
        <w:rPr/>
      </w:pPr>
      <w:r>
        <w:rPr/>
      </w:r>
    </w:p>
    <w:p>
      <w:pPr>
        <w:pStyle w:val="BodyText"/>
        <w:rPr>
          <w:b/>
          <w:u w:val="single"/>
        </w:rPr>
      </w:pPr>
      <w:r>
        <w:rPr>
          <w:b/>
          <w:u w:val="single"/>
        </w:rPr>
        <w:t>DPC’s tariff competitiveness</w:t>
      </w:r>
    </w:p>
    <w:p>
      <w:pPr>
        <w:pStyle w:val="BodyText"/>
        <w:rPr>
          <w:b/>
          <w:u w:val="single"/>
        </w:rPr>
      </w:pPr>
      <w:r>
        <w:rPr>
          <w:b/>
          <w:u w:val="single"/>
        </w:rPr>
      </w:r>
    </w:p>
    <w:p>
      <w:pPr>
        <w:pStyle w:val="BodyText"/>
        <w:rPr/>
      </w:pPr>
      <w:r>
        <w:rPr/>
        <w:t xml:space="preserve">The current average Phase I tariff of DPC power since it was commissioned in May 1999 is about Rs. 4.94/kwh – about USD 10.5 cents/kwh. This rate is higher than what was originally expected due  to the following factors: </w:t>
      </w:r>
    </w:p>
    <w:p>
      <w:pPr>
        <w:pStyle w:val="BodyText"/>
        <w:numPr>
          <w:ilvl w:val="0"/>
          <w:numId w:val="1"/>
        </w:numPr>
        <w:rPr/>
      </w:pPr>
      <w:r>
        <w:rPr/>
        <w:t>Sharp rise in international crude oil and naphtha prices since May 1999 (from $15 per barrel to in excess of $35 per barrel), which has been further compounded by the duty component of approximately 22% imposed on Naphtha by the GoI;</w:t>
      </w:r>
    </w:p>
    <w:p>
      <w:pPr>
        <w:pStyle w:val="BodyText"/>
        <w:numPr>
          <w:ilvl w:val="0"/>
          <w:numId w:val="1"/>
        </w:numPr>
        <w:rPr/>
      </w:pPr>
      <w:r>
        <w:rPr/>
        <w:t xml:space="preserve">Depreciation of the Indian rupee vis-a-vis the US Dollar; and </w:t>
      </w:r>
    </w:p>
    <w:p>
      <w:pPr>
        <w:pStyle w:val="BodyText"/>
        <w:numPr>
          <w:ilvl w:val="0"/>
          <w:numId w:val="4"/>
        </w:numPr>
        <w:rPr/>
      </w:pPr>
      <w:r>
        <w:rPr/>
        <w:t>Significantly lower dispatch of the power station (~ 60%) as compared to the 90% contemplated by the PPA, which has resulted in an increase in the effective unit capacity charge</w:t>
      </w:r>
      <w:r>
        <w:rPr>
          <w:rStyle w:val="FootnoteCharacters"/>
          <w:rStyle w:val="FootnoteReference"/>
        </w:rPr>
        <w:footnoteReference w:id="2"/>
      </w:r>
      <w:r>
        <w:rPr/>
        <w:t>. It would be pertinent to note that, at a 90% dispatch level, the tariff would have been Rs 4.02 /kwh (~ 8.5 cents/kwh). This 90% tariff level is comparable to tariffs of other new IPPs or other new GoI owned Central Sector Generating Stations (including NTPC’s Kayamkulam plant in Kerala, which started operation at approximately the same time as Dabhol Phase I).</w:t>
      </w:r>
    </w:p>
    <w:p>
      <w:pPr>
        <w:pStyle w:val="BodyText"/>
        <w:rPr/>
      </w:pPr>
      <w:r>
        <w:rPr/>
      </w:r>
    </w:p>
    <w:p>
      <w:pPr>
        <w:pStyle w:val="BodyText"/>
        <w:rPr/>
      </w:pPr>
      <w:r>
        <w:rPr/>
      </w:r>
    </w:p>
    <w:p>
      <w:pPr>
        <w:pStyle w:val="BodyText"/>
        <w:rPr/>
      </w:pPr>
      <w:r>
        <w:rPr>
          <w:b/>
          <w:i/>
        </w:rPr>
        <w:t>With the completion of Phase II and the changeover to LNG as the fuel, DPC’s tariff is expected to reduce significantly</w:t>
      </w:r>
      <w:r>
        <w:rPr>
          <w:i/>
        </w:rPr>
        <w:t xml:space="preserve"> </w:t>
      </w:r>
      <w:r>
        <w:rPr/>
        <w:t>with respect to the current tariff levels. On completion of Phase II, DPC’s tariff is expected to be in the range of Rs. 3.3 - 3.7/kwh (~ 7-8 cents/kwh), at the current exchange rate (~ Rs 47/$) and assuming a crude price variation in the range of $21-28 per barrel and 90% dispatch levels. Note that international crude prices will play a major factor in the tariff, and the World Bank has recently concluded that they forecast a long-term price per barrel of $18, which would lower the tariff even further than above.</w:t>
      </w:r>
    </w:p>
    <w:p>
      <w:pPr>
        <w:pStyle w:val="BodyText"/>
        <w:rPr/>
      </w:pPr>
      <w:r>
        <w:rPr/>
      </w:r>
    </w:p>
    <w:p>
      <w:pPr>
        <w:pStyle w:val="BodyText"/>
        <w:rPr/>
      </w:pPr>
      <w:r>
        <w:rPr/>
      </w:r>
    </w:p>
    <w:p>
      <w:pPr>
        <w:pStyle w:val="BodyText"/>
        <w:rPr/>
      </w:pPr>
      <w:r>
        <w:rPr>
          <w:b/>
          <w:i/>
        </w:rPr>
        <w:t>Central Gov’t involvement is a key aspect of the process.</w:t>
      </w:r>
      <w:r>
        <w:rPr/>
        <w:t xml:space="preserve"> GOI is incentivised to support the project on account of the following reasons:</w:t>
      </w:r>
    </w:p>
    <w:p>
      <w:pPr>
        <w:pStyle w:val="BodyText"/>
        <w:numPr>
          <w:ilvl w:val="0"/>
          <w:numId w:val="5"/>
        </w:numPr>
        <w:rPr/>
      </w:pPr>
      <w:r>
        <w:rPr/>
        <w:t xml:space="preserve">Significant demand-supply imbalances within the Indian Power Sector </w:t>
      </w:r>
    </w:p>
    <w:p>
      <w:pPr>
        <w:pStyle w:val="BodyText"/>
        <w:numPr>
          <w:ilvl w:val="0"/>
          <w:numId w:val="5"/>
        </w:numPr>
        <w:rPr/>
      </w:pPr>
      <w:r>
        <w:rPr/>
        <w:t>Minimal private sector investment in the Indian power sector, arising from the poor credit quality of the SEBs &amp; the need for significant tariff reforms</w:t>
      </w:r>
    </w:p>
    <w:p>
      <w:pPr>
        <w:pStyle w:val="BodyText"/>
        <w:numPr>
          <w:ilvl w:val="0"/>
          <w:numId w:val="5"/>
        </w:numPr>
        <w:rPr/>
      </w:pPr>
      <w:r>
        <w:rPr/>
        <w:t>GOI has counter-guaranteed payment obligations for a significant portion of the Dabhol project, including large termination payment obligations</w:t>
      </w:r>
    </w:p>
    <w:p>
      <w:pPr>
        <w:pStyle w:val="BodyText"/>
        <w:numPr>
          <w:ilvl w:val="0"/>
          <w:numId w:val="5"/>
        </w:numPr>
        <w:rPr/>
      </w:pPr>
      <w:r>
        <w:rPr/>
        <w:t xml:space="preserve">Under the new central government power policy, DPC, by virtue of its large size (2,184MW), would qualify as a “megaproject”, and thus the power from the project would have to be absorbed by more than one State and the central government would provide financial support to make this happen. </w:t>
      </w:r>
    </w:p>
    <w:p>
      <w:pPr>
        <w:pStyle w:val="BodyText"/>
        <w:rPr/>
      </w:pPr>
      <w:r>
        <w:rPr/>
      </w:r>
    </w:p>
    <w:p>
      <w:pPr>
        <w:pStyle w:val="BodyText"/>
        <w:rPr/>
      </w:pPr>
      <w:r>
        <w:rPr/>
        <w:t xml:space="preserve">Thus, involvement of the GOI is very important in the resolution of the Dabhol power project. Involvement by the Ministry of Finance, which is ultimately liable under the GOI guarantee, and the Ministry of Power, through their controlled entities, National Thermal Power Corporation and Power Trading Corporation, is essential. </w:t>
      </w:r>
    </w:p>
    <w:p>
      <w:pPr>
        <w:pStyle w:val="BodyText"/>
        <w:rPr/>
      </w:pPr>
      <w:r>
        <w:rPr/>
      </w:r>
    </w:p>
    <w:p>
      <w:pPr>
        <w:pStyle w:val="BodyText"/>
        <w:rPr/>
      </w:pPr>
      <w:r>
        <w:rPr/>
      </w:r>
    </w:p>
    <w:p>
      <w:pPr>
        <w:pStyle w:val="BodyText"/>
        <w:rPr/>
      </w:pPr>
      <w:r>
        <w:rPr/>
        <w:t>Solutions can be found to utilize the project capacity optimally and encourage exchange of power between the States and the Centre. DPC and its majority shareholder Enron are prepared to sit and discuss solutions with all the appropriate Indian stakeholders (GOI, GOM, MSEB) and keeping in mind the restrictions placed on the project by its lenders, LNG suppliers and equity shareholder.</w:t>
      </w:r>
    </w:p>
    <w:p>
      <w:pPr>
        <w:pStyle w:val="BodyText"/>
        <w:rPr/>
      </w:pPr>
      <w:r>
        <w:rPr/>
      </w:r>
    </w:p>
    <w:sectPr>
      <w:footerReference w:type="default" r:id="rId2"/>
      <w:footnotePr>
        <w:numFmt w:val="decimal"/>
      </w:footnotePr>
      <w:type w:val="nextPage"/>
      <w:pgSz w:w="12240" w:h="15840"/>
      <w:pgMar w:left="1800" w:right="1800" w:gutter="0" w:header="0" w:top="1440" w:footer="72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DPC update December 2000</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At lower levels of PLF, the capacity charge (which is a fixed amount) gets distributed over lesser number of units.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color w:val="auto"/>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tabs>
        <w:tab w:val="clear" w:pos="720"/>
        <w:tab w:val="left" w:pos="5850" w:leader="none"/>
      </w:tabs>
      <w:spacing w:lineRule="auto" w:line="360"/>
      <w:ind w:firstLine="720" w:start="0" w:end="0"/>
      <w:jc w:val="both"/>
    </w:pPr>
    <w:rPr>
      <w:rFonts w:ascii="Courier New" w:hAnsi="Courier New" w:cs="Courier New"/>
      <w:sz w:val="24"/>
    </w:rPr>
  </w:style>
  <w:style w:type="paragraph" w:styleId="BodyText3">
    <w:name w:val="Body Text 3"/>
    <w:basedOn w:val="Normal"/>
    <w:qFormat/>
    <w:pPr>
      <w:jc w:val="both"/>
    </w:pPr>
    <w:rPr>
      <w:color w:val="000000"/>
      <w:sz w:val="24"/>
      <w:lang w:eastAsia="en-US"/>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2001-01-08T09:42:00Z</dcterms:created>
  <dc:creator>Enron User</dc:creator>
  <dc:description/>
  <dc:language>en-CA</dc:language>
  <cp:lastModifiedBy>gblack</cp:lastModifiedBy>
  <cp:lastPrinted>2000-12-19T19:03:00Z</cp:lastPrinted>
  <dcterms:modified xsi:type="dcterms:W3CDTF">2001-01-08T09:42:00Z</dcterms:modified>
  <cp:revision>2</cp:revision>
  <dc:subject/>
  <dc:title>Introduction</dc:title>
</cp:coreProperties>
</file>