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4"/>
        </w:rPr>
      </w:pPr>
      <w:r>
        <w:rPr>
          <w:rFonts w:eastAsia="Arial" w:cs="Arial" w:ascii="Arial" w:hAnsi="Arial"/>
          <w:sz w:val="24"/>
        </w:rPr>
        <w:t xml:space="preserve"> </w:t>
      </w:r>
      <w:r>
        <w:rPr>
          <w:rFonts w:cs="Arial" w:ascii="Arial" w:hAnsi="Arial"/>
          <w:sz w:val="24"/>
        </w:rPr>
        <w:t>DRAFT – January 7, 2000</w:t>
      </w:r>
    </w:p>
    <w:p>
      <w:pPr>
        <w:pStyle w:val="Heading2"/>
        <w:spacing w:lineRule="auto" w:line="360"/>
        <w:ind w:hanging="0" w:start="0"/>
        <w:rPr>
          <w:rFonts w:ascii="Arial" w:hAnsi="Arial" w:cs="Arial"/>
        </w:rPr>
      </w:pPr>
      <w:r>
        <w:rPr>
          <w:rFonts w:cs="Arial" w:ascii="Arial" w:hAnsi="Arial"/>
        </w:rPr>
        <w:t>For Internal Use – Only if Asked</w:t>
      </w:r>
    </w:p>
    <w:p>
      <w:pPr>
        <w:pStyle w:val="Normal"/>
        <w:pBdr>
          <w:bottom w:val="thickThinMediumGap" w:sz="18" w:space="1" w:color="000000"/>
        </w:pBdr>
        <w:spacing w:lineRule="auto" w:line="360"/>
        <w:jc w:val="center"/>
        <w:rPr>
          <w:rFonts w:ascii="Arial" w:hAnsi="Arial" w:cs="Arial"/>
          <w:b/>
          <w:sz w:val="24"/>
        </w:rPr>
      </w:pPr>
      <w:r>
        <w:rPr>
          <w:rFonts w:cs="Arial" w:ascii="Arial" w:hAnsi="Arial"/>
          <w:b/>
          <w:sz w:val="24"/>
        </w:rPr>
        <w:t>Statement on DPC Actions Related to MSEB Outstanding Payments</w:t>
      </w:r>
    </w:p>
    <w:p>
      <w:pPr>
        <w:pStyle w:val="Normal"/>
        <w:jc w:val="center"/>
        <w:rPr>
          <w:rFonts w:ascii="Arial" w:hAnsi="Arial" w:cs="Arial"/>
          <w:b/>
          <w:sz w:val="24"/>
        </w:rPr>
      </w:pPr>
      <w:r>
        <w:rPr>
          <w:rFonts w:cs="Arial" w:ascii="Arial" w:hAnsi="Arial"/>
          <w:b/>
          <w:sz w:val="24"/>
        </w:rPr>
      </w:r>
    </w:p>
    <w:p>
      <w:pPr>
        <w:pStyle w:val="Normal"/>
        <w:spacing w:lineRule="auto" w:line="360"/>
        <w:rPr>
          <w:rFonts w:ascii="Arial" w:hAnsi="Arial" w:cs="Arial"/>
          <w:sz w:val="24"/>
        </w:rPr>
      </w:pPr>
      <w:r>
        <w:rPr>
          <w:rFonts w:cs="Arial" w:ascii="Arial" w:hAnsi="Arial"/>
          <w:sz w:val="24"/>
        </w:rPr>
      </w:r>
    </w:p>
    <w:p>
      <w:pPr>
        <w:pStyle w:val="BodyText"/>
        <w:spacing w:lineRule="auto" w:line="360"/>
        <w:jc w:val="both"/>
        <w:rPr>
          <w:rFonts w:ascii="Arial" w:hAnsi="Arial" w:cs="Arial"/>
        </w:rPr>
      </w:pPr>
      <w:r>
        <w:rPr>
          <w:rFonts w:cs="Arial" w:ascii="Arial" w:hAnsi="Arial"/>
        </w:rPr>
        <w:t>DPC has taken measures to enforce their security rights under the contract documents. We are disappointed that this decision had to be taken. However, we must take necessary steps to ensure that all parties honour the legally binding contracts. In taking such action, DPC was required to consider the best interests of all its stakeholders, including the shareholders, Indian and international lenders, Indian and international LNG vessel owners, and fuel suppliers.</w:t>
      </w:r>
    </w:p>
    <w:p>
      <w:pPr>
        <w:pStyle w:val="Normal"/>
        <w:spacing w:lineRule="auto" w:line="360"/>
        <w:jc w:val="both"/>
        <w:rPr>
          <w:rFonts w:ascii="Arial" w:hAnsi="Arial" w:cs="Arial"/>
          <w:sz w:val="24"/>
        </w:rPr>
      </w:pPr>
      <w:r>
        <w:rPr>
          <w:rFonts w:cs="Arial" w:ascii="Arial" w:hAnsi="Arial"/>
          <w:sz w:val="24"/>
        </w:rPr>
        <w:t>Given our understanding of MSEB’s financial challenges, DPC and its partners have consistently exercised a great degree of restraint, despite repeated delays in payment from MSEB for the past several months. However, with monthly bills outstanding for over 43 and 14 days respectively, DPC has exercised its rights under the existing documents by drawing upon the Government of Maharashtra’s guarantee, and issuing the required notice to MSEB, calling upon them to meet and confer on the outstanding payments.  In addition, as required by the Government of India’s counter-guarantee, we have sent a copy of the notice under the GoM guarantee to the Government of India.</w:t>
      </w:r>
    </w:p>
    <w:p>
      <w:pPr>
        <w:pStyle w:val="Normal"/>
        <w:pBdr>
          <w:bottom w:val="single" w:sz="12" w:space="1" w:color="000000"/>
        </w:pBd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rFonts w:ascii="Arial" w:hAnsi="Arial" w:cs="Arial"/>
          <w:u w:val="single"/>
        </w:rPr>
      </w:pPr>
      <w:r>
        <w:rPr>
          <w:rFonts w:cs="Arial" w:ascii="Arial" w:hAnsi="Arial"/>
          <w:u w:val="single"/>
        </w:rPr>
        <w:t>Additional Q&amp;As</w:t>
      </w:r>
    </w:p>
    <w:p>
      <w:pPr>
        <w:pStyle w:val="Normal"/>
        <w:rPr>
          <w:rFonts w:ascii="Arial" w:hAnsi="Arial" w:cs="Arial"/>
          <w:sz w:val="24"/>
          <w:u w:val="single"/>
        </w:rPr>
      </w:pPr>
      <w:r>
        <w:rPr>
          <w:rFonts w:cs="Arial" w:ascii="Arial" w:hAnsi="Arial"/>
          <w:sz w:val="24"/>
          <w:u w:val="single"/>
        </w:rPr>
      </w:r>
    </w:p>
    <w:p>
      <w:pPr>
        <w:pStyle w:val="Normal"/>
        <w:spacing w:lineRule="auto" w:line="360"/>
        <w:rPr>
          <w:rFonts w:ascii="Arial" w:hAnsi="Arial" w:cs="Arial"/>
          <w:b/>
          <w:sz w:val="24"/>
        </w:rPr>
      </w:pPr>
      <w:r>
        <w:rPr>
          <w:rFonts w:cs="Arial" w:ascii="Arial" w:hAnsi="Arial"/>
          <w:b/>
          <w:sz w:val="24"/>
        </w:rPr>
        <w:t xml:space="preserve">Step 1 </w:t>
      </w:r>
    </w:p>
    <w:p>
      <w:pPr>
        <w:pStyle w:val="Normal"/>
        <w:spacing w:lineRule="auto" w:line="360"/>
        <w:rPr>
          <w:rFonts w:ascii="Arial" w:hAnsi="Arial" w:cs="Arial"/>
          <w:b/>
          <w:sz w:val="24"/>
        </w:rPr>
      </w:pPr>
      <w:r>
        <w:rPr>
          <w:rFonts w:cs="Arial" w:ascii="Arial" w:hAnsi="Arial"/>
          <w:b/>
          <w:sz w:val="24"/>
        </w:rPr>
        <w:t>Q. Why have you invoked the GOM’s guarantee first and not the letter of credit?</w:t>
      </w:r>
    </w:p>
    <w:p>
      <w:pPr>
        <w:pStyle w:val="BodyText2"/>
        <w:spacing w:lineRule="auto" w:line="360"/>
        <w:rPr>
          <w:rFonts w:ascii="Arial" w:hAnsi="Arial" w:cs="Arial"/>
        </w:rPr>
      </w:pPr>
      <w:r>
        <w:rPr>
          <w:rFonts w:cs="Arial" w:ascii="Arial" w:hAnsi="Arial"/>
        </w:rPr>
        <w:t>A. The documents provide that DPC may invoke either the guarantee or the L/C or both, and we have elected to invoke the guarantee.</w:t>
      </w:r>
    </w:p>
    <w:p>
      <w:pPr>
        <w:pStyle w:val="Normal"/>
        <w:rPr>
          <w:rFonts w:ascii="Arial" w:hAnsi="Arial" w:cs="Arial"/>
          <w:b/>
          <w:sz w:val="24"/>
        </w:rPr>
      </w:pPr>
      <w:r>
        <w:rPr>
          <w:rFonts w:cs="Arial" w:ascii="Arial" w:hAnsi="Arial"/>
          <w:b/>
          <w:sz w:val="24"/>
        </w:rPr>
      </w:r>
    </w:p>
    <w:p>
      <w:pPr>
        <w:pStyle w:val="Normal"/>
        <w:spacing w:lineRule="auto" w:line="360"/>
        <w:rPr>
          <w:rFonts w:ascii="Arial" w:hAnsi="Arial" w:cs="Arial"/>
          <w:b/>
          <w:sz w:val="24"/>
        </w:rPr>
      </w:pPr>
      <w:r>
        <w:rPr>
          <w:rFonts w:cs="Arial" w:ascii="Arial" w:hAnsi="Arial"/>
          <w:b/>
          <w:sz w:val="24"/>
        </w:rPr>
        <w:t xml:space="preserve">Step 2 </w:t>
      </w:r>
    </w:p>
    <w:p>
      <w:pPr>
        <w:pStyle w:val="Normal"/>
        <w:spacing w:lineRule="auto" w:line="360"/>
        <w:rPr>
          <w:rFonts w:ascii="Arial" w:hAnsi="Arial" w:cs="Arial"/>
          <w:b/>
          <w:sz w:val="24"/>
        </w:rPr>
      </w:pPr>
      <w:r>
        <w:rPr>
          <w:rFonts w:cs="Arial" w:ascii="Arial" w:hAnsi="Arial"/>
          <w:b/>
          <w:sz w:val="24"/>
        </w:rPr>
        <w:t>Q. Why have you invoked both the Maharashtra Government’s and GoI’s guarantees, and not the LC?</w:t>
      </w:r>
    </w:p>
    <w:p>
      <w:pPr>
        <w:pStyle w:val="Normal"/>
        <w:pBdr>
          <w:bottom w:val="single" w:sz="24" w:space="1" w:color="000000"/>
        </w:pBdr>
        <w:spacing w:lineRule="auto" w:line="360"/>
        <w:rPr>
          <w:rFonts w:ascii="Arial" w:hAnsi="Arial" w:cs="Arial"/>
          <w:sz w:val="24"/>
        </w:rPr>
      </w:pPr>
      <w:r>
        <w:rPr>
          <w:rFonts w:cs="Arial" w:ascii="Arial" w:hAnsi="Arial"/>
          <w:sz w:val="24"/>
        </w:rPr>
        <w:t>A. The GoI guarantee has not been invoked but they have received notice of the GoM guarantee being invoked, as required by the documents.</w:t>
      </w:r>
    </w:p>
    <w:p>
      <w:pPr>
        <w:pStyle w:val="Normal"/>
        <w:spacing w:lineRule="auto" w:line="360"/>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Heading3"/>
        <w:numPr>
          <w:ilvl w:val="0"/>
          <w:numId w:val="3"/>
        </w:numPr>
        <w:spacing w:lineRule="auto" w:line="360"/>
        <w:ind w:hanging="0" w:start="0"/>
        <w:rPr>
          <w:rFonts w:ascii="Arial" w:hAnsi="Arial" w:cs="Arial"/>
        </w:rPr>
      </w:pPr>
      <w:r>
        <w:rPr>
          <w:rFonts w:cs="Arial" w:ascii="Arial" w:hAnsi="Arial"/>
        </w:rPr>
        <w:t xml:space="preserve">What other actions are you planning? </w:t>
      </w:r>
    </w:p>
    <w:p>
      <w:pPr>
        <w:pStyle w:val="Normal"/>
        <w:numPr>
          <w:ilvl w:val="0"/>
          <w:numId w:val="2"/>
        </w:numPr>
        <w:spacing w:lineRule="auto" w:line="360"/>
        <w:rPr>
          <w:rFonts w:ascii="Arial" w:hAnsi="Arial" w:cs="Arial"/>
          <w:sz w:val="24"/>
        </w:rPr>
      </w:pPr>
      <w:r>
        <w:rPr>
          <w:rFonts w:cs="Arial" w:ascii="Arial" w:hAnsi="Arial"/>
          <w:sz w:val="24"/>
        </w:rPr>
        <w:t>It would be inappropriate to speculate on future actions.</w:t>
      </w:r>
    </w:p>
    <w:p>
      <w:pPr>
        <w:pStyle w:val="Normal"/>
        <w:spacing w:lineRule="auto" w:line="360"/>
        <w:rPr>
          <w:rFonts w:ascii="Arial" w:hAnsi="Arial" w:cs="Arial"/>
          <w:sz w:val="24"/>
        </w:rPr>
      </w:pPr>
      <w:r>
        <w:rPr>
          <w:rFonts w:cs="Arial" w:ascii="Arial" w:hAnsi="Arial"/>
          <w:sz w:val="24"/>
        </w:rPr>
      </w:r>
    </w:p>
    <w:p>
      <w:pPr>
        <w:pStyle w:val="Heading1"/>
        <w:spacing w:lineRule="auto" w:line="360"/>
        <w:ind w:hanging="0" w:start="0"/>
        <w:rPr>
          <w:rFonts w:ascii="Arial" w:hAnsi="Arial" w:cs="Arial"/>
        </w:rPr>
      </w:pPr>
      <w:r>
        <w:rPr>
          <w:rFonts w:cs="Arial" w:ascii="Arial" w:hAnsi="Arial"/>
        </w:rPr>
        <w:t>Q.  What can be done to resolve the problem?</w:t>
      </w:r>
    </w:p>
    <w:p>
      <w:pPr>
        <w:pStyle w:val="BodyText"/>
        <w:spacing w:lineRule="auto" w:line="360"/>
        <w:rPr>
          <w:rFonts w:ascii="Arial" w:hAnsi="Arial" w:cs="Arial"/>
        </w:rPr>
      </w:pPr>
      <w:r>
        <w:rPr>
          <w:rFonts w:cs="Arial" w:ascii="Arial" w:hAnsi="Arial"/>
        </w:rPr>
        <w:t xml:space="preserve">A.  First, GoM and MSEB must pay the outstanding bills. Thereafter, they should jointly work to find lasting solutions to MSEB’s financial condition. </w:t>
      </w:r>
    </w:p>
    <w:p>
      <w:pPr>
        <w:pStyle w:val="Normal"/>
        <w:spacing w:lineRule="auto" w:line="360"/>
        <w:rPr>
          <w:rFonts w:ascii="Arial" w:hAnsi="Arial" w:cs="Arial"/>
          <w:sz w:val="24"/>
        </w:rPr>
      </w:pPr>
      <w:r>
        <w:rPr>
          <w:rFonts w:cs="Arial" w:ascii="Arial" w:hAnsi="Arial"/>
          <w:sz w:val="24"/>
        </w:rPr>
      </w:r>
    </w:p>
    <w:p>
      <w:pPr>
        <w:pStyle w:val="Heading1"/>
        <w:spacing w:lineRule="auto" w:line="360"/>
        <w:ind w:hanging="0" w:start="0"/>
        <w:rPr>
          <w:rFonts w:ascii="Arial" w:hAnsi="Arial" w:cs="Arial"/>
        </w:rPr>
      </w:pPr>
      <w:r>
        <w:rPr>
          <w:rFonts w:cs="Arial" w:ascii="Arial" w:hAnsi="Arial"/>
        </w:rPr>
        <w:t>Q.  Is this an indication that DPC is at risk?</w:t>
      </w:r>
    </w:p>
    <w:p>
      <w:pPr>
        <w:pStyle w:val="Normal"/>
        <w:spacing w:lineRule="auto" w:line="360"/>
        <w:rPr>
          <w:rFonts w:ascii="Arial" w:hAnsi="Arial" w:cs="Arial"/>
          <w:sz w:val="24"/>
        </w:rPr>
      </w:pPr>
      <w:r>
        <w:rPr>
          <w:rFonts w:cs="Arial" w:ascii="Arial" w:hAnsi="Arial"/>
          <w:sz w:val="24"/>
        </w:rPr>
        <w:t xml:space="preserve">A.  Part of the reason for having state and central guarantees was to provide security against the possibility of MSEB payment problems.  MSEB has delayed past payments and ultimately satisfied those obligations.  With the state’s help, we believe MSEB will be capable of satisfying it’s future obligations. </w:t>
      </w:r>
    </w:p>
    <w:p>
      <w:pPr>
        <w:pStyle w:val="Normal"/>
        <w:spacing w:lineRule="auto" w:line="360"/>
        <w:rPr>
          <w:rFonts w:ascii="Arial" w:hAnsi="Arial" w:cs="Arial"/>
          <w:sz w:val="24"/>
        </w:rPr>
      </w:pPr>
      <w:r>
        <w:rPr>
          <w:rFonts w:cs="Arial" w:ascii="Arial" w:hAnsi="Arial"/>
          <w:sz w:val="24"/>
        </w:rPr>
      </w:r>
    </w:p>
    <w:p>
      <w:pPr>
        <w:pStyle w:val="BodyText2"/>
        <w:spacing w:lineRule="auto" w:line="360"/>
        <w:rPr>
          <w:rFonts w:ascii="Arial" w:hAnsi="Arial" w:cs="Arial"/>
          <w:b/>
        </w:rPr>
      </w:pPr>
      <w:r>
        <w:rPr>
          <w:rFonts w:cs="Arial" w:ascii="Arial" w:hAnsi="Arial"/>
          <w:b/>
        </w:rPr>
        <w:t>Q.  How will this impact the future of Phase II of the Dabhol project?</w:t>
      </w:r>
    </w:p>
    <w:p>
      <w:pPr>
        <w:pStyle w:val="BodyText2"/>
        <w:spacing w:lineRule="auto" w:line="360"/>
        <w:rPr>
          <w:rFonts w:ascii="Arial" w:hAnsi="Arial" w:cs="Arial"/>
        </w:rPr>
      </w:pPr>
      <w:r>
        <w:rPr>
          <w:rFonts w:cs="Arial" w:ascii="Arial" w:hAnsi="Arial"/>
        </w:rPr>
        <w:t>A.  Phase II of the Dabhol project is 80 % complete, with 95 % equipment already on-site. Approximately 15,000 workers are completing the construction. The project is on schedule to achieve its full generating capacity and receive the first shipment of Liquefied Natural Gas, a less expensive and environment friendly fuel, by end 2001.</w:t>
      </w:r>
    </w:p>
    <w:p>
      <w:pPr>
        <w:pStyle w:val="BodyText2"/>
        <w:spacing w:lineRule="auto" w:line="360"/>
        <w:rPr>
          <w:rFonts w:ascii="Arial" w:hAnsi="Arial" w:cs="Arial"/>
        </w:rPr>
      </w:pPr>
      <w:r>
        <w:rPr>
          <w:rFonts w:cs="Arial" w:ascii="Arial" w:hAnsi="Arial"/>
        </w:rPr>
      </w:r>
    </w:p>
    <w:p>
      <w:pPr>
        <w:pStyle w:val="BodyText2"/>
        <w:spacing w:lineRule="auto" w:line="360"/>
        <w:rPr>
          <w:rFonts w:ascii="Arial" w:hAnsi="Arial" w:cs="Arial"/>
          <w:b/>
        </w:rPr>
      </w:pPr>
      <w:r>
        <w:rPr>
          <w:rFonts w:cs="Arial" w:ascii="Arial" w:hAnsi="Arial"/>
          <w:b/>
        </w:rPr>
        <w:t>Q. What can happen next?</w:t>
      </w:r>
    </w:p>
    <w:p>
      <w:pPr>
        <w:pStyle w:val="BodyText2"/>
        <w:spacing w:lineRule="auto" w:line="360"/>
        <w:rPr>
          <w:rFonts w:ascii="Arial" w:hAnsi="Arial" w:cs="Arial"/>
        </w:rPr>
      </w:pPr>
      <w:r>
        <w:rPr>
          <w:rFonts w:cs="Arial" w:ascii="Arial" w:hAnsi="Arial"/>
        </w:rPr>
        <w:t>A. We will continue to honour our contractual obligations, and expect MSEB to continue to pay us. If payment delays continue in the same vein in future also, we will be forced to consider exercising security mechanisms all over again.</w:t>
      </w:r>
    </w:p>
    <w:p>
      <w:pPr>
        <w:pStyle w:val="BodyText2"/>
        <w:pBdr>
          <w:bottom w:val="thickThinMediumGap" w:sz="18" w:space="1" w:color="000000"/>
        </w:pBdr>
        <w:spacing w:lineRule="auto" w:line="360"/>
        <w:rPr>
          <w:rFonts w:ascii="Arial" w:hAnsi="Arial" w:cs="Arial"/>
        </w:rPr>
      </w:pPr>
      <w:r>
        <w:rPr>
          <w:rFonts w:cs="Arial" w:ascii="Arial" w:hAnsi="Arial"/>
        </w:rPr>
      </w:r>
    </w:p>
    <w:p>
      <w:pPr>
        <w:pStyle w:val="BodyText2"/>
        <w:spacing w:lineRule="auto" w:line="360"/>
        <w:rPr>
          <w:rFonts w:ascii="Arial" w:hAnsi="Arial" w:cs="Arial"/>
        </w:rPr>
      </w:pPr>
      <w:r>
        <w:rPr>
          <w:rFonts w:cs="Arial" w:ascii="Arial" w:hAnsi="Arial"/>
        </w:rPr>
      </w:r>
    </w:p>
    <w:p>
      <w:pPr>
        <w:pStyle w:val="BodyText2"/>
        <w:spacing w:lineRule="auto" w:line="360"/>
        <w:rPr>
          <w:rFonts w:ascii="Arial" w:hAnsi="Arial" w:cs="Arial"/>
        </w:rPr>
      </w:pPr>
      <w:r>
        <w:rPr>
          <w:rFonts w:cs="Arial" w:ascii="Arial" w:hAnsi="Arial"/>
        </w:rPr>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0"/>
        <w:numId w:val="3"/>
      </w:numPr>
      <w:outlineLvl w:val="2"/>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tabs>
        <w:tab w:val="clear" w:pos="720"/>
        <w:tab w:val="left" w:pos="-7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rPr>
      <w:color w:val="000000"/>
      <w:sz w:val="24"/>
      <w:lang w:eastAsia="en-US"/>
    </w:rPr>
  </w:style>
  <w:style w:type="paragraph" w:styleId="Subtitle">
    <w:name w:val="Subtitle"/>
    <w:basedOn w:val="Normal"/>
    <w:next w:val="BodyText"/>
    <w:qFormat/>
    <w:pPr/>
    <w:rPr>
      <w:b/>
      <w:sz w:val="24"/>
    </w:rPr>
  </w:style>
  <w:style w:type="paragraph" w:styleId="MessageHeader">
    <w:name w:val="Message Header"/>
    <w:basedOn w:val="BodyText"/>
    <w:qFormat/>
    <w:pPr>
      <w:keepLines/>
      <w:spacing w:lineRule="atLeast" w:line="140" w:before="0" w:after="40"/>
      <w:ind w:hanging="0" w:start="360" w:end="0"/>
    </w:pPr>
    <w:rPr>
      <w:rFonts w:ascii="Garamond" w:hAnsi="Garamond" w:cs="Garamond"/>
      <w:spacing w:val="-5"/>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2001-01-07T22:08:00Z</dcterms:created>
  <dc:creator>Enron</dc:creator>
  <dc:description/>
  <dc:language>en-CA</dc:language>
  <cp:lastModifiedBy>Enron</cp:lastModifiedBy>
  <cp:lastPrinted>2001-01-07T15:21:00Z</cp:lastPrinted>
  <dcterms:modified xsi:type="dcterms:W3CDTF">2001-01-07T22:08:00Z</dcterms:modified>
  <cp:revision>2</cp:revision>
  <dc:subject/>
  <dc:title>Phased Message Statements – Dabhol Power Company</dc:title>
</cp:coreProperties>
</file>