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start"/>
        <w:rPr/>
      </w:pPr>
      <w:r>
        <w:rPr>
          <w:rPrChange w:id="0" w:author="Unknown" w:date="0-00-00T00:00:00Z"/>
        </w:rPr>
        <w:t>DRAFT</w:t>
      </w:r>
    </w:p>
    <w:p>
      <w:pPr>
        <w:pStyle w:val="BodyText2"/>
        <w:jc w:val="start"/>
        <w:rPr/>
      </w:pPr>
      <w:r>
        <w:rPr>
          <w:rPrChange w:id="0" w:author="Unknown" w:date="0-00-00T00:00:00Z"/>
        </w:rPr>
      </w:r>
    </w:p>
    <w:p>
      <w:pPr>
        <w:pStyle w:val="BodyText2"/>
        <w:jc w:val="start"/>
        <w:rPr/>
      </w:pPr>
      <w:r>
        <w:rPr>
          <w:rPrChange w:id="0" w:author="Unknown" w:date="0-00-00T00:00:00Z"/>
        </w:rPr>
        <w:t>DABHOL POWER COMPANY INITIATIVES PROVIDE OPPORTUNITIES FOR ISSUE RESOLUTION WITH MAHARASHTRA STATE ELECTRICITY BOARD</w:t>
      </w:r>
    </w:p>
    <w:p>
      <w:pPr>
        <w:pStyle w:val="Normal"/>
        <w:jc w:val="both"/>
        <w:rPr/>
      </w:pPr>
      <w:r>
        <w:rPr/>
      </w:r>
    </w:p>
    <w:p>
      <w:pPr>
        <w:pStyle w:val="Normal"/>
        <w:jc w:val="both"/>
        <w:rPr/>
      </w:pPr>
      <w:r>
        <w:rPr/>
      </w:r>
    </w:p>
    <w:p>
      <w:pPr>
        <w:pStyle w:val="Normal"/>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FOR IMMEDIATE RELEASE: Saturday, June 16, 2001</w:t>
      </w:r>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both"/>
        <w:rPr/>
      </w:pPr>
      <w:r>
        <w:rPr/>
      </w:r>
    </w:p>
    <w:p>
      <w:pPr>
        <w:pStyle w:val="Normal"/>
        <w:spacing w:lineRule="auto" w:line="360"/>
        <w:jc w:val="both"/>
        <w:rPr/>
      </w:pPr>
      <w:r>
        <w:rPr>
          <w:b/>
        </w:rPr>
        <w:t>MUMBAI</w:t>
      </w:r>
      <w:r>
        <w:rPr/>
        <w:t xml:space="preserve"> -- On June 12, a hearing before the Mumbai High Court was adjourned so that Maharashtra State Electricity Board (MSEB) and Dabhol Power Company (DPC) could take another look at the prospects for resolving their differences, before the court rules on issues relating to Maharashtra Electricity Regulatory Commission (MERC) jurisdiction.  In response to the court’s request, DPC has taken the first step by inviting MSEB to meet on Monday, June 18 and discuss the potential for resolving their issues out of court.</w:t>
      </w:r>
    </w:p>
    <w:p>
      <w:pPr>
        <w:pStyle w:val="Normal"/>
        <w:spacing w:lineRule="auto" w:line="360"/>
        <w:jc w:val="both"/>
        <w:rPr/>
      </w:pPr>
      <w:r>
        <w:rPr/>
      </w:r>
    </w:p>
    <w:p>
      <w:pPr>
        <w:pStyle w:val="Normal"/>
        <w:spacing w:lineRule="auto" w:line="360"/>
        <w:jc w:val="both"/>
        <w:rPr>
          <w:color w:val="000000"/>
        </w:rPr>
      </w:pPr>
      <w:r>
        <w:rPr/>
        <w:t xml:space="preserve">In addition, DPC on June 15 notified MSEB that DPC will accept any further payments by MSEB that are owed to DPC under the Power Purchase Agreement (PPA). </w:t>
      </w:r>
      <w:r>
        <w:rPr>
          <w:color w:val="000000"/>
        </w:rPr>
        <w:t>This step has been taken with a view to further facilitate resolution of issues between DPC and MSEB, and after discussions with DPC’s lenders. Although MSEB has announced its rescission of the PPA,</w:t>
      </w:r>
      <w:r>
        <w:rPr/>
        <w:t xml:space="preserve"> and DPC disagrees with this action, </w:t>
      </w:r>
      <w:r>
        <w:rPr>
          <w:color w:val="000000"/>
        </w:rPr>
        <w:t>we have also advised MSEB that DPC’s</w:t>
      </w:r>
      <w:r>
        <w:rPr/>
        <w:t xml:space="preserve"> plant currently remains fully available to despatch power and we will despatch such power per the PPA, subject to receiving despatch instructions from MSEB. </w:t>
      </w:r>
    </w:p>
    <w:p>
      <w:pPr>
        <w:pStyle w:val="Normal"/>
        <w:spacing w:lineRule="auto" w:line="360"/>
        <w:jc w:val="both"/>
        <w:rPr>
          <w:color w:val="000000"/>
        </w:rPr>
      </w:pPr>
      <w:r>
        <w:rPr>
          <w:color w:val="000000"/>
        </w:rPr>
      </w:r>
    </w:p>
    <w:p>
      <w:pPr>
        <w:pStyle w:val="Normal"/>
        <w:spacing w:lineRule="auto" w:line="360"/>
        <w:jc w:val="both"/>
        <w:rPr/>
      </w:pPr>
      <w:r>
        <w:rPr/>
        <w:t>Mr. Wade Cline, Managing Director, DPC, said, “These initiatives by DPC again demonstrate our willingness to work jointly with MSEB to address outstanding issues relating to the energy sector in Maharashtra and the Dabhol Power project.  Indeed, since we began to detect the early warning signs of problems for MSEB in the beginning of 2000, DPC has actively engaged MSEB / Govt. of Maharashtra (GoM) / Govt. of India (GoI) and the Lenders in numerous meetings and initiatives aimed at alleviating difficulties faced by MSEB.”</w:t>
      </w:r>
    </w:p>
    <w:p>
      <w:pPr>
        <w:pStyle w:val="Normal"/>
        <w:spacing w:lineRule="auto" w:line="360"/>
        <w:jc w:val="both"/>
        <w:rPr/>
      </w:pPr>
      <w:r>
        <w:rPr/>
      </w:r>
    </w:p>
    <w:p>
      <w:pPr>
        <w:pStyle w:val="Normal"/>
        <w:spacing w:lineRule="auto" w:line="360"/>
        <w:jc w:val="both"/>
        <w:rPr/>
      </w:pPr>
      <w:r>
        <w:rPr/>
        <w:t xml:space="preserve"> </w:t>
      </w:r>
      <w:r>
        <w:rPr/>
        <w:t>A short list of actions undertaken over the last 18 months include the following:</w:t>
      </w:r>
    </w:p>
    <w:p>
      <w:pPr>
        <w:pStyle w:val="Normal"/>
        <w:numPr>
          <w:ilvl w:val="0"/>
          <w:numId w:val="2"/>
        </w:numPr>
        <w:tabs>
          <w:tab w:val="clear" w:pos="720"/>
          <w:tab w:val="left" w:pos="360" w:leader="none"/>
        </w:tabs>
        <w:spacing w:lineRule="auto" w:line="360"/>
        <w:ind w:hanging="360" w:start="360" w:end="0"/>
        <w:jc w:val="both"/>
        <w:rPr/>
      </w:pPr>
      <w:r>
        <w:rPr/>
        <w:t>DPC has continued to comply with the PPA despite MSEB’s consistent failure to meet its obligations under the PPA beginning in early 2000.  More importantly, to show DPC’s good faith, patience and willingness to find a solution, DPC refrained from invoking the GoM and GoI guarantees for over 12 months after MSEB payment defaults started, waiting until early 2001 before making use of any claims on security available to DPC.</w:t>
      </w:r>
    </w:p>
    <w:p>
      <w:pPr>
        <w:pStyle w:val="Normal"/>
        <w:numPr>
          <w:ilvl w:val="0"/>
          <w:numId w:val="3"/>
        </w:numPr>
        <w:spacing w:lineRule="auto" w:line="360"/>
        <w:jc w:val="both"/>
        <w:rPr/>
      </w:pPr>
      <w:r>
        <w:rPr/>
        <w:t>On behalf of MSEB, DPC pursued possible third party sales of any excess power from MSEB to other potential power purchasers.</w:t>
      </w:r>
    </w:p>
    <w:p>
      <w:pPr>
        <w:pStyle w:val="Normal"/>
        <w:numPr>
          <w:ilvl w:val="0"/>
          <w:numId w:val="3"/>
        </w:numPr>
        <w:spacing w:lineRule="auto" w:line="360"/>
        <w:jc w:val="both"/>
        <w:rPr/>
      </w:pPr>
      <w:r>
        <w:rPr/>
        <w:t xml:space="preserve">Led more than 20 formal discussions with potential customers of MSEB for power sales in other states like Rajasthan, Karnataka, Delhi, Andhra Pradesh. </w:t>
      </w:r>
    </w:p>
    <w:p>
      <w:pPr>
        <w:pStyle w:val="Normal"/>
        <w:numPr>
          <w:ilvl w:val="0"/>
          <w:numId w:val="3"/>
        </w:numPr>
        <w:spacing w:lineRule="auto" w:line="360"/>
        <w:jc w:val="both"/>
        <w:rPr/>
      </w:pPr>
      <w:r>
        <w:rPr/>
        <w:t>Initiated approximately 50 meetings with various levels of MSEB, GoM and GoI to focus on MSEB’s poor financial health, the need to accelerate reforms and MSEB’s expressed inability to absorb Phase II power due to their lack of reforms.</w:t>
      </w:r>
    </w:p>
    <w:p>
      <w:pPr>
        <w:pStyle w:val="Normal"/>
        <w:numPr>
          <w:ilvl w:val="0"/>
          <w:numId w:val="3"/>
        </w:numPr>
        <w:spacing w:lineRule="auto" w:line="360"/>
        <w:jc w:val="both"/>
        <w:rPr/>
      </w:pPr>
      <w:r>
        <w:rPr/>
        <w:t>Secured interest rate reductions on Phase I Rupee loans, which resulted in a lower tariff for MSEB.</w:t>
      </w:r>
    </w:p>
    <w:p>
      <w:pPr>
        <w:pStyle w:val="Normal"/>
        <w:numPr>
          <w:ilvl w:val="0"/>
          <w:numId w:val="3"/>
        </w:numPr>
        <w:spacing w:lineRule="auto" w:line="360"/>
        <w:jc w:val="both"/>
        <w:rPr/>
      </w:pPr>
      <w:r>
        <w:rPr/>
        <w:t>Enron provided a working capital loan to MSEB’s Phase II transmission line contractors to assist MSEB in meeting its obligations to timely provide Phase II transmission lines.</w:t>
      </w:r>
    </w:p>
    <w:p>
      <w:pPr>
        <w:pStyle w:val="Normal"/>
        <w:numPr>
          <w:ilvl w:val="0"/>
          <w:numId w:val="2"/>
        </w:numPr>
        <w:tabs>
          <w:tab w:val="clear" w:pos="720"/>
          <w:tab w:val="left" w:pos="360" w:leader="none"/>
        </w:tabs>
        <w:spacing w:lineRule="auto" w:line="360"/>
        <w:ind w:hanging="360" w:start="360" w:end="0"/>
        <w:jc w:val="both"/>
        <w:rPr/>
      </w:pPr>
      <w:r>
        <w:rPr/>
        <w:t>Worked with DPC’s lenders to permit an extra 30 days over and above what is required in the PPA for MSEB to pay DPC bills given MSEB’s poor liquidity position.</w:t>
      </w:r>
    </w:p>
    <w:p>
      <w:pPr>
        <w:pStyle w:val="Normal"/>
        <w:numPr>
          <w:ilvl w:val="0"/>
          <w:numId w:val="2"/>
        </w:numPr>
        <w:tabs>
          <w:tab w:val="clear" w:pos="720"/>
          <w:tab w:val="left" w:pos="360" w:leader="none"/>
        </w:tabs>
        <w:spacing w:lineRule="auto" w:line="360"/>
        <w:ind w:hanging="360" w:start="360" w:end="0"/>
        <w:jc w:val="both"/>
        <w:rPr/>
      </w:pPr>
      <w:r>
        <w:rPr/>
        <w:t>Proposed GoI’s involvement in the sale of power from MSEB, including possible power purchases by GoI entities.</w:t>
      </w:r>
    </w:p>
    <w:p>
      <w:pPr>
        <w:pStyle w:val="Normal"/>
        <w:spacing w:lineRule="auto" w:line="360"/>
        <w:jc w:val="both"/>
        <w:rPr/>
      </w:pPr>
      <w:r>
        <w:rPr/>
      </w:r>
    </w:p>
    <w:p>
      <w:pPr>
        <w:pStyle w:val="Normal"/>
        <w:spacing w:lineRule="auto" w:line="360"/>
        <w:jc w:val="both"/>
        <w:rPr/>
      </w:pPr>
      <w:r>
        <w:rPr/>
        <w:t xml:space="preserve">Unfortunately, even with these efforts the other stakeholders have been unwilling to put forward realistic proposals. </w:t>
      </w:r>
    </w:p>
    <w:p>
      <w:pPr>
        <w:pStyle w:val="Normal"/>
        <w:spacing w:lineRule="auto" w:line="360"/>
        <w:jc w:val="both"/>
        <w:rPr/>
      </w:pPr>
      <w:r>
        <w:rPr/>
      </w:r>
    </w:p>
    <w:p>
      <w:pPr>
        <w:pStyle w:val="Normal"/>
        <w:spacing w:lineRule="auto" w:line="360"/>
        <w:jc w:val="both"/>
        <w:rPr/>
      </w:pPr>
      <w:r>
        <w:rPr/>
        <w:t xml:space="preserve">Notwithstanding this, Mr. Cline added, “We remain open to finding mutually acceptable solutions and to this end have attended meetings with the Godbole negotiating committee as well as discussing possible scenarios with our lenders. DPC firmly believes that our plant is very competitive with similar new generation power plants across the country. While there have been discussions about lowering the tariff, given the significant investments made to date based on the current PPA signed by MSEB and approved by the GOM and GOI, our ability to lower the tariff is not unlimited. The discussions about lowering tariff have been in the context of first achieving other necessary components such as the plant operating at full capacity, having reliable and creditworthy buyers for the power with an acceptably security package and contract terms being fully met during the course of these discussions.” </w:t>
      </w:r>
    </w:p>
    <w:p>
      <w:pPr>
        <w:pStyle w:val="BodyText"/>
        <w:spacing w:lineRule="auto" w:line="360"/>
        <w:jc w:val="both"/>
        <w:rPr>
          <w:rFonts w:ascii="Times New Roman" w:hAnsi="Times New Roman" w:cs="Times New Roman"/>
          <w:b w:val="false"/>
          <w:sz w:val="24"/>
        </w:rPr>
      </w:pPr>
      <w:r>
        <w:rPr>
          <w:rFonts w:cs="Times New Roman" w:ascii="Times New Roman" w:hAnsi="Times New Roman"/>
          <w:b w:val="false"/>
          <w:sz w:val="24"/>
        </w:rPr>
      </w:r>
    </w:p>
    <w:p>
      <w:pPr>
        <w:pStyle w:val="BodyText"/>
        <w:spacing w:lineRule="auto" w:line="360"/>
        <w:jc w:val="both"/>
        <w:rPr>
          <w:rFonts w:ascii="Times New Roman" w:hAnsi="Times New Roman" w:cs="Times New Roman"/>
          <w:b w:val="false"/>
          <w:sz w:val="24"/>
        </w:rPr>
      </w:pPr>
      <w:r>
        <w:rPr>
          <w:rFonts w:cs="Times New Roman" w:ascii="Times New Roman" w:hAnsi="Times New Roman"/>
          <w:b w:val="false"/>
          <w:sz w:val="24"/>
        </w:rPr>
        <w:t>DPC believes that while the resolution process continues, factors that need to be borne in mind include:</w:t>
      </w:r>
    </w:p>
    <w:p>
      <w:pPr>
        <w:pStyle w:val="Normal"/>
        <w:numPr>
          <w:ilvl w:val="0"/>
          <w:numId w:val="4"/>
        </w:numPr>
        <w:spacing w:lineRule="auto" w:line="360"/>
        <w:jc w:val="both"/>
        <w:rPr/>
      </w:pPr>
      <w:r>
        <w:rPr/>
        <w:t>Any possible solutions cannot be implemented unilaterally by DPC. All stakeholders, including MSEB, GoM, GoI, fuel suppliers, ship owners and domestic and international lenders have to agree to the proposed solutions.</w:t>
      </w:r>
    </w:p>
    <w:p>
      <w:pPr>
        <w:pStyle w:val="Normal"/>
        <w:numPr>
          <w:ilvl w:val="0"/>
          <w:numId w:val="4"/>
        </w:numPr>
        <w:spacing w:lineRule="auto" w:line="360"/>
        <w:jc w:val="both"/>
        <w:rPr/>
      </w:pPr>
      <w:r>
        <w:rPr/>
        <w:t xml:space="preserve">Any possible solutions will have a limited and short-term effect if immediate and major remedial steps addressing the financial and operational health of MSEB are not implemented. </w:t>
      </w:r>
    </w:p>
    <w:p>
      <w:pPr>
        <w:pStyle w:val="Normal"/>
        <w:numPr>
          <w:ilvl w:val="0"/>
          <w:numId w:val="4"/>
        </w:numPr>
        <w:spacing w:lineRule="auto" w:line="360"/>
        <w:jc w:val="both"/>
        <w:rPr/>
      </w:pPr>
      <w:r>
        <w:rPr/>
        <w:t>Continued and expanded participation by the GoI in finding solutions as well as ensuring the future viability of the project is essential.</w:t>
      </w:r>
    </w:p>
    <w:p>
      <w:pPr>
        <w:pStyle w:val="Normal"/>
        <w:numPr>
          <w:ilvl w:val="0"/>
          <w:numId w:val="4"/>
        </w:numPr>
        <w:spacing w:lineRule="auto" w:line="360"/>
        <w:jc w:val="both"/>
        <w:rPr/>
      </w:pPr>
      <w:r>
        <w:rPr/>
        <w:t>As the Dabhol plant was designed and constructed as a baseload plant, any operation of it at anything other than its designed maximum operating efficiency is not beneficial to anyone and will have an impact on the tariff. Thus discussions on lowering the tariff are contingent on being able to operate the power plant at a 90% plant load factor, which means that ensuring credit-worthy buyers for the entire output of the power plant is imperative.</w:t>
      </w:r>
    </w:p>
    <w:p>
      <w:pPr>
        <w:pStyle w:val="Normal"/>
        <w:numPr>
          <w:ilvl w:val="0"/>
          <w:numId w:val="4"/>
        </w:numPr>
        <w:spacing w:lineRule="auto" w:line="360"/>
        <w:jc w:val="both"/>
        <w:rPr/>
      </w:pPr>
      <w:r>
        <w:rPr/>
        <w:t>The tariff can be significantly reduced by treating DPC similar to public sector units and removing taxes, custom duties, etc., the benefits of which will be passed through to MSEB.</w:t>
      </w:r>
    </w:p>
    <w:p>
      <w:pPr>
        <w:pStyle w:val="Normal"/>
        <w:spacing w:lineRule="auto" w:line="360"/>
        <w:jc w:val="both"/>
        <w:rPr/>
      </w:pPr>
      <w:r>
        <w:rPr/>
      </w:r>
    </w:p>
    <w:p>
      <w:pPr>
        <w:pStyle w:val="BodyText"/>
        <w:spacing w:lineRule="auto" w:line="360"/>
        <w:jc w:val="both"/>
        <w:rPr>
          <w:rFonts w:ascii="Times New Roman" w:hAnsi="Times New Roman" w:cs="Times New Roman"/>
          <w:b w:val="false"/>
          <w:sz w:val="24"/>
        </w:rPr>
      </w:pPr>
      <w:r>
        <w:rPr>
          <w:rFonts w:cs="Times New Roman" w:ascii="Times New Roman" w:hAnsi="Times New Roman"/>
          <w:b w:val="false"/>
          <w:sz w:val="24"/>
        </w:rPr>
        <w:t>Mr. Cline reiterated, “DPC remains committed to finding lasting solutions. We will continue to abide by the PPA and meet our contractual obligations, enforcing our rights under contracts and taking various disputes to the dispute resolution process. ”</w:t>
      </w:r>
    </w:p>
    <w:p>
      <w:pPr>
        <w:pStyle w:val="BodyText"/>
        <w:spacing w:lineRule="auto" w:line="360"/>
        <w:jc w:val="both"/>
        <w:rPr>
          <w:rFonts w:ascii="Times New Roman" w:hAnsi="Times New Roman" w:cs="Times New Roman"/>
          <w:b w:val="false"/>
          <w:sz w:val="24"/>
        </w:rPr>
      </w:pPr>
      <w:r>
        <w:rPr>
          <w:rFonts w:cs="Times New Roman" w:ascii="Times New Roman" w:hAnsi="Times New Roman"/>
          <w:b w:val="false"/>
          <w:sz w:val="24"/>
        </w:rPr>
      </w:r>
    </w:p>
    <w:p>
      <w:pPr>
        <w:pStyle w:val="Normal"/>
        <w:pBdr>
          <w:bottom w:val="thickThinMediumGap" w:sz="18" w:space="1" w:color="000000"/>
        </w:pBdr>
        <w:spacing w:lineRule="auto" w:line="360"/>
        <w:jc w:val="both"/>
        <w:rPr/>
      </w:pPr>
      <w:r>
        <w:rPr/>
        <w:t xml:space="preserve">To truly resolve this problem, all parties must be able to rely upon the commitments of their counterparties. Toward this end DPC strongly encourages all participants in this dispute to meet their contractual obligations as evidence of their good faith and desire to reach a mutually acceptable solution.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center"/>
    </w:pPr>
    <w:rPr>
      <w:b/>
      <w:bCs/>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2001-06-15T13:03:00Z</dcterms:created>
  <dc:creator>atul agarwal</dc:creator>
  <dc:description/>
  <dc:language>en-CA</dc:language>
  <cp:lastModifiedBy>John Ambler</cp:lastModifiedBy>
  <cp:lastPrinted>2001-06-15T09:04:00Z</cp:lastPrinted>
  <dcterms:modified xsi:type="dcterms:W3CDTF">2001-06-15T13:03:00Z</dcterms:modified>
  <cp:revision>2</cp:revision>
  <dc:subject/>
  <dc:title>DABHOL POWER COMPANY INITIATES MEASURES TO FACILITATE RESOLUTION</dc:title>
</cp:coreProperties>
</file>