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ind w:firstLine="720" w:end="0"/>
        <w:rPr>
          <w:rFonts w:ascii="Times New Roman" w:hAnsi="Times New Roman" w:cs="Times New Roman"/>
          <w:b/>
          <w:bCs/>
          <w:szCs w:val="20"/>
          <w:u w:val="single"/>
        </w:rPr>
      </w:pPr>
      <w:r>
        <w:rPr>
          <w:rFonts w:cs="Times New Roman" w:ascii="Times New Roman" w:hAnsi="Times New Roman"/>
          <w:b/>
          <w:bCs/>
          <w:szCs w:val="20"/>
          <w:u w:val="single"/>
        </w:rPr>
        <w:t>Suit filed by IFI’s preventing DPC from pursuing Termination Process</w:t>
      </w:r>
    </w:p>
    <w:p>
      <w:pPr>
        <w:pStyle w:val="NormalWeb"/>
        <w:rPr>
          <w:rFonts w:ascii="Times New Roman" w:hAnsi="Times New Roman" w:cs="Times New Roman"/>
          <w:b/>
          <w:bCs/>
          <w:szCs w:val="20"/>
          <w:u w:val="single"/>
        </w:rPr>
      </w:pPr>
      <w:r>
        <w:rPr>
          <w:rFonts w:cs="Times New Roman" w:ascii="Times New Roman" w:hAnsi="Times New Roman"/>
          <w:b/>
          <w:bCs/>
          <w:szCs w:val="20"/>
          <w:u w:val="single"/>
        </w:rPr>
      </w:r>
    </w:p>
    <w:p>
      <w:pPr>
        <w:pStyle w:val="NormalWeb"/>
        <w:rPr>
          <w:rFonts w:ascii="Times New Roman" w:hAnsi="Times New Roman" w:cs="Times New Roman"/>
          <w:b/>
          <w:bCs/>
          <w:szCs w:val="20"/>
        </w:rPr>
      </w:pPr>
      <w:r>
        <w:rPr>
          <w:rFonts w:cs="Times New Roman" w:ascii="Times New Roman" w:hAnsi="Times New Roman"/>
          <w:b/>
          <w:bCs/>
          <w:szCs w:val="20"/>
        </w:rPr>
        <w:t>November 6, 2001</w:t>
      </w:r>
    </w:p>
    <w:p>
      <w:pPr>
        <w:pStyle w:val="NormalWeb"/>
        <w:rPr>
          <w:rFonts w:ascii="Times New Roman" w:hAnsi="Times New Roman" w:cs="Times New Roman"/>
          <w:b/>
          <w:bCs/>
          <w:szCs w:val="20"/>
          <w:u w:val="single"/>
        </w:rPr>
      </w:pPr>
      <w:r>
        <w:rPr>
          <w:rFonts w:cs="Times New Roman" w:ascii="Times New Roman" w:hAnsi="Times New Roman"/>
          <w:b/>
          <w:bCs/>
          <w:szCs w:val="20"/>
          <w:u w:val="single"/>
        </w:rPr>
      </w:r>
    </w:p>
    <w:p>
      <w:pPr>
        <w:pStyle w:val="NormalWeb"/>
        <w:rPr>
          <w:rFonts w:ascii="Times New Roman" w:hAnsi="Times New Roman" w:cs="Times New Roman"/>
          <w:b/>
          <w:bCs/>
          <w:szCs w:val="20"/>
          <w:u w:val="single"/>
        </w:rPr>
      </w:pPr>
      <w:r>
        <w:rPr>
          <w:rFonts w:cs="Times New Roman" w:ascii="Times New Roman" w:hAnsi="Times New Roman"/>
          <w:b/>
          <w:bCs/>
          <w:szCs w:val="20"/>
          <w:u w:val="single"/>
        </w:rPr>
        <w:t>Media Statement</w:t>
      </w:r>
    </w:p>
    <w:p>
      <w:pPr>
        <w:pStyle w:val="NormalWeb"/>
        <w:rPr>
          <w:rFonts w:ascii="Times New Roman" w:hAnsi="Times New Roman" w:cs="Times New Roman"/>
          <w:b/>
          <w:bCs/>
          <w:szCs w:val="20"/>
          <w:u w:val="single"/>
        </w:rPr>
      </w:pPr>
      <w:r>
        <w:rPr>
          <w:rFonts w:cs="Times New Roman" w:ascii="Times New Roman" w:hAnsi="Times New Roman"/>
          <w:b/>
          <w:bCs/>
          <w:szCs w:val="20"/>
          <w:u w:val="single"/>
        </w:rPr>
      </w:r>
    </w:p>
    <w:p>
      <w:pPr>
        <w:pStyle w:val="NormalWeb"/>
        <w:spacing w:lineRule="auto" w:line="360"/>
        <w:jc w:val="both"/>
        <w:rPr>
          <w:rFonts w:ascii="Times New Roman" w:hAnsi="Times New Roman" w:cs="Times New Roman"/>
          <w:szCs w:val="20"/>
        </w:rPr>
      </w:pPr>
      <w:r>
        <w:rPr>
          <w:rFonts w:cs="Times New Roman" w:ascii="Times New Roman" w:hAnsi="Times New Roman"/>
          <w:szCs w:val="20"/>
        </w:rPr>
        <w:t xml:space="preserve">DPC is amazed that the Indian lenders (IFIs) would file a suit today in the Bombay High Court at the same time they and the Government of India (GoI) have specifically requested meetings with us in Singapore and Washington D.C. to discuss an amicable resolution of the Dabhol issue. </w:t>
      </w:r>
    </w:p>
    <w:p>
      <w:pPr>
        <w:pStyle w:val="NormalWeb"/>
        <w:spacing w:lineRule="auto" w:line="360"/>
        <w:jc w:val="both"/>
        <w:rPr>
          <w:rFonts w:ascii="Times New Roman" w:hAnsi="Times New Roman" w:cs="Times New Roman"/>
          <w:szCs w:val="20"/>
        </w:rPr>
      </w:pPr>
      <w:r>
        <w:rPr>
          <w:rFonts w:cs="Times New Roman" w:ascii="Times New Roman" w:hAnsi="Times New Roman"/>
          <w:szCs w:val="20"/>
        </w:rPr>
        <w:t>This is a precipitous step clearly designed to frustrate DPC and its stakeholder’s ability to pursue legal remedies under the power purchase agreement (PPA). In the past we have experienced similar delaying tactics from the Government of Maharashtra (GoM), but we did not expect that central government owned and directed financial institutions would take such action intended to undermine the legitimate interests of the foreign investors.</w:t>
      </w:r>
    </w:p>
    <w:p>
      <w:pPr>
        <w:pStyle w:val="NormalWeb"/>
        <w:spacing w:lineRule="auto" w:line="360"/>
        <w:jc w:val="both"/>
        <w:rPr>
          <w:rFonts w:ascii="Times New Roman" w:hAnsi="Times New Roman" w:cs="Times New Roman"/>
          <w:szCs w:val="20"/>
        </w:rPr>
      </w:pPr>
      <w:r>
        <w:rPr>
          <w:rFonts w:cs="Times New Roman" w:ascii="Times New Roman" w:hAnsi="Times New Roman"/>
          <w:szCs w:val="20"/>
        </w:rPr>
        <w:t>Therefore, DPC’s foreign sponsors and offshore lenders, including governmental lenders from the U.S., Japan and Belgium, will review the suit and respond in an appropriate manner to protect the rights of all its stakeholders. DPC is confident of its legal position, as prescribed under the various contract documents, and expects this dispute will ultimately be resolved to the satisfaction of DPC and its stakeholders</w:t>
      </w:r>
    </w:p>
    <w:p>
      <w:pPr>
        <w:pStyle w:val="Normal"/>
        <w:spacing w:lineRule="auto" w:line="360"/>
        <w:jc w:val="both"/>
        <w:rPr>
          <w:rFonts w:ascii="Times New Roman" w:hAnsi="Times New Roman" w:cs="Times New Roman"/>
          <w:szCs w:val="20"/>
        </w:rPr>
      </w:pPr>
      <w:r>
        <w:rPr>
          <w:rFonts w:cs="Times New Roman"/>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2001-11-06T14:24:00Z</dcterms:created>
  <dc:creator>Johan Zaayman</dc:creator>
  <dc:description/>
  <dc:language>en-CA</dc:language>
  <cp:lastModifiedBy>John Ambler</cp:lastModifiedBy>
  <cp:lastPrinted>2001-11-06T10:22:00Z</cp:lastPrinted>
  <dcterms:modified xsi:type="dcterms:W3CDTF">2001-11-06T14:24:00Z</dcterms:modified>
  <cp:revision>2</cp:revision>
  <dc:subject/>
  <dc:title>Suit filed by IFI’s preventing DPC from pursuing Termination Process</dc:title>
</cp:coreProperties>
</file>