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Fonts w:cs="Times New Roman" w:ascii="Times New Roman" w:hAnsi="Times New Roman"/>
          <w:sz w:val="24"/>
        </w:rPr>
        <w:tab/>
        <w:tab/>
        <w:tab/>
      </w:r>
      <w:r>
        <w:rPr>
          <w:rFonts w:cs="Times New Roman" w:ascii="Times New Roman" w:hAnsi="Times New Roman"/>
          <w:b/>
          <w:bCs/>
          <w:sz w:val="24"/>
          <w:u w:val="single"/>
        </w:rPr>
        <w:t>DPC serves Asset Transfer Notice to MSEB</w:t>
      </w:r>
    </w:p>
    <w:p>
      <w:pPr>
        <w:pStyle w:val="BodyText"/>
        <w:rPr>
          <w:rFonts w:ascii="Times New Roman" w:hAnsi="Times New Roman" w:cs="Times New Roman"/>
          <w:b/>
          <w:bCs/>
          <w:sz w:val="24"/>
          <w:u w:val="single"/>
        </w:rPr>
      </w:pPr>
      <w:r>
        <w:rPr>
          <w:rFonts w:cs="Times New Roman" w:ascii="Times New Roman" w:hAnsi="Times New Roman"/>
          <w:b/>
          <w:bCs/>
          <w:sz w:val="24"/>
          <w:u w:val="single"/>
        </w:rPr>
      </w:r>
    </w:p>
    <w:p>
      <w:pPr>
        <w:pStyle w:val="BodyText"/>
        <w:rPr>
          <w:rFonts w:ascii="Times New Roman" w:hAnsi="Times New Roman" w:cs="Times New Roman"/>
          <w:sz w:val="24"/>
        </w:rPr>
      </w:pPr>
      <w:r>
        <w:rPr>
          <w:rFonts w:cs="Times New Roman" w:ascii="Times New Roman" w:hAnsi="Times New Roman"/>
          <w:b/>
          <w:bCs/>
          <w:sz w:val="24"/>
        </w:rPr>
        <w:t>Draft - November 2, 2001</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u w:val="single"/>
        </w:rPr>
      </w:pPr>
      <w:r>
        <w:rPr>
          <w:rFonts w:cs="Times New Roman" w:ascii="Times New Roman" w:hAnsi="Times New Roman"/>
          <w:b/>
          <w:bCs/>
          <w:sz w:val="24"/>
          <w:u w:val="single"/>
        </w:rPr>
        <w:t>Media Statement</w:t>
      </w:r>
    </w:p>
    <w:p>
      <w:pPr>
        <w:pStyle w:val="BodyText"/>
        <w:spacing w:lineRule="auto" w:line="360"/>
        <w:jc w:val="both"/>
        <w:rPr>
          <w:rFonts w:ascii="Times New Roman" w:hAnsi="Times New Roman" w:cs="Times New Roman"/>
          <w:b/>
          <w:bCs/>
          <w:sz w:val="24"/>
          <w:u w:val="single"/>
        </w:rPr>
      </w:pPr>
      <w:r>
        <w:rPr>
          <w:rFonts w:cs="Times New Roman" w:ascii="Times New Roman" w:hAnsi="Times New Roman"/>
          <w:b/>
          <w:bCs/>
          <w:sz w:val="24"/>
          <w:u w:val="single"/>
        </w:rPr>
      </w:r>
    </w:p>
    <w:p>
      <w:pPr>
        <w:pStyle w:val="BodyText"/>
        <w:spacing w:lineRule="auto" w:line="360"/>
        <w:jc w:val="both"/>
        <w:rPr>
          <w:rFonts w:ascii="Times New Roman" w:hAnsi="Times New Roman" w:cs="Times New Roman"/>
          <w:sz w:val="24"/>
        </w:rPr>
      </w:pPr>
      <w:r>
        <w:rPr>
          <w:rFonts w:cs="Times New Roman" w:ascii="Times New Roman" w:hAnsi="Times New Roman"/>
          <w:sz w:val="24"/>
        </w:rPr>
        <w:t>I can confirm that on XXXX  XX, 2001, Dabhol Power Company (DPC) served a Notice of Asset Transfer to the Maharashtra State Electricity Board (MSEB). This notice formally sets in motion the valuation process of Dabhol’s assets in preparation for termination of the PPA.  This action follows more than two years of late payments and defaults in payments from MSEB and a repudiation of the PPA by MSEB.  The transfer notice is an important step in the process of remedies agreed to by all parties to the PPA, and is necessary to protect the interests of Dabhol’s sponsors, lenders and other stakeholders. Following this transfer notice, the final termination notice will be served in the near future to continue the legal process against MSEB.</w:t>
      </w:r>
    </w:p>
    <w:p>
      <w:pPr>
        <w:pStyle w:val="BodyText"/>
        <w:spacing w:lineRule="auto" w:line="360"/>
        <w:jc w:val="both"/>
        <w:rPr>
          <w:rFonts w:ascii="Times New Roman" w:hAnsi="Times New Roman" w:cs="Times New Roman"/>
          <w:sz w:val="24"/>
        </w:rPr>
      </w:pPr>
      <w:r>
        <w:rPr>
          <w:rFonts w:cs="Times New Roman" w:ascii="Times New Roman" w:hAnsi="Times New Roman"/>
          <w:sz w:val="24"/>
        </w:rPr>
      </w:r>
    </w:p>
    <w:p>
      <w:pPr>
        <w:pStyle w:val="BodyText"/>
        <w:spacing w:lineRule="auto" w:line="360"/>
        <w:jc w:val="both"/>
        <w:rPr>
          <w:rFonts w:ascii="Times New Roman" w:hAnsi="Times New Roman" w:cs="Times New Roman"/>
          <w:sz w:val="24"/>
        </w:rPr>
      </w:pPr>
      <w:r>
        <w:rPr>
          <w:rFonts w:cs="Times New Roman" w:ascii="Times New Roman" w:hAnsi="Times New Roman"/>
          <w:sz w:val="24"/>
        </w:rPr>
        <w:t xml:space="preserve">DPC would still prefer to resolve this dispute amicably through a negotiated purchase by the Government of India (GoI) and Indian Financial Institutions (IFI’s) of the foreign sponsors equity, including offshore lenders’ debt.  However, ongoing discussions between DPC and GoI/IFI’s are yielding no significant progress toward a fair and reasonable solution. </w:t>
      </w:r>
    </w:p>
    <w:p>
      <w:pPr>
        <w:pStyle w:val="BodyText"/>
        <w:spacing w:lineRule="auto" w:line="360"/>
        <w:jc w:val="both"/>
        <w:rPr>
          <w:rFonts w:ascii="Times New Roman" w:hAnsi="Times New Roman" w:cs="Times New Roman"/>
          <w:sz w:val="24"/>
        </w:rPr>
      </w:pPr>
      <w:r>
        <w:rPr>
          <w:rFonts w:cs="Times New Roman" w:ascii="Times New Roman" w:hAnsi="Times New Roman"/>
          <w:sz w:val="24"/>
        </w:rPr>
      </w:r>
    </w:p>
    <w:p>
      <w:pPr>
        <w:pStyle w:val="BodyText"/>
        <w:spacing w:lineRule="auto" w:line="360"/>
        <w:jc w:val="both"/>
        <w:rPr>
          <w:rFonts w:ascii="Times New Roman" w:hAnsi="Times New Roman" w:cs="Times New Roman"/>
          <w:sz w:val="24"/>
        </w:rPr>
      </w:pPr>
      <w:r>
        <w:rPr>
          <w:rFonts w:cs="Times New Roman" w:ascii="Times New Roman" w:hAnsi="Times New Roman"/>
          <w:sz w:val="24"/>
        </w:rPr>
        <w:t xml:space="preserve">Consequently, DPC is left with little choice other than to serve the transfer notice to MSEB, which draws us closer to final termination of the PPA and the ultimate recovery of damages as allowed under the project documents. </w:t>
      </w:r>
    </w:p>
    <w:p>
      <w:pPr>
        <w:pStyle w:val="BodyText"/>
        <w:spacing w:lineRule="auto" w:line="360"/>
        <w:jc w:val="both"/>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u w:val="single"/>
        </w:rPr>
      </w:pPr>
      <w:r>
        <w:rPr>
          <w:rFonts w:cs="Times New Roman" w:ascii="Times New Roman" w:hAnsi="Times New Roman"/>
          <w:b/>
          <w:bCs/>
          <w:sz w:val="24"/>
          <w:u w:val="single"/>
        </w:rPr>
        <w:t>Questions and Answers</w:t>
      </w:r>
    </w:p>
    <w:p>
      <w:pPr>
        <w:pStyle w:val="BodyText"/>
        <w:rPr>
          <w:rFonts w:ascii="Times New Roman" w:hAnsi="Times New Roman" w:cs="Times New Roman"/>
          <w:b/>
          <w:bCs/>
          <w:sz w:val="24"/>
          <w:u w:val="single"/>
        </w:rPr>
      </w:pPr>
      <w:r>
        <w:rPr>
          <w:rFonts w:cs="Times New Roman" w:ascii="Times New Roman" w:hAnsi="Times New Roman"/>
          <w:b/>
          <w:bCs/>
          <w:sz w:val="24"/>
          <w:u w:val="single"/>
        </w:rPr>
      </w:r>
    </w:p>
    <w:p>
      <w:pPr>
        <w:pStyle w:val="BodyText"/>
        <w:rPr>
          <w:rFonts w:ascii="Times New Roman" w:hAnsi="Times New Roman" w:cs="Times New Roman"/>
          <w:b/>
          <w:bCs/>
          <w:sz w:val="24"/>
        </w:rPr>
      </w:pPr>
      <w:r>
        <w:rPr>
          <w:rFonts w:cs="Times New Roman" w:ascii="Times New Roman" w:hAnsi="Times New Roman"/>
          <w:b/>
          <w:bCs/>
          <w:sz w:val="24"/>
        </w:rPr>
        <w:t>Was lender consent needed to issue transfer notice?</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rFonts w:ascii="Times New Roman" w:hAnsi="Times New Roman" w:cs="Times New Roman"/>
          <w:sz w:val="24"/>
        </w:rPr>
      </w:pPr>
      <w:r>
        <w:rPr>
          <w:rFonts w:cs="Times New Roman" w:ascii="Times New Roman" w:hAnsi="Times New Roman"/>
          <w:sz w:val="24"/>
        </w:rPr>
        <w:t xml:space="preserve">Yes, we received approval from DPC’s offshore lenders for the Asset Transfer Notice.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rPr>
      </w:pPr>
      <w:r>
        <w:rPr>
          <w:rFonts w:cs="Times New Roman" w:ascii="Times New Roman" w:hAnsi="Times New Roman"/>
          <w:b/>
          <w:bCs/>
          <w:sz w:val="24"/>
        </w:rPr>
        <w:t>What is the next step in the valuation process?</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rFonts w:ascii="Times New Roman" w:hAnsi="Times New Roman" w:cs="Times New Roman"/>
          <w:sz w:val="24"/>
        </w:rPr>
      </w:pPr>
      <w:r>
        <w:rPr>
          <w:rFonts w:cs="Times New Roman" w:ascii="Times New Roman" w:hAnsi="Times New Roman"/>
          <w:sz w:val="24"/>
        </w:rPr>
        <w:t>Independent experts will be appointed to value the asset.</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rPr>
      </w:pPr>
      <w:r>
        <w:rPr>
          <w:rFonts w:cs="Times New Roman" w:ascii="Times New Roman" w:hAnsi="Times New Roman"/>
          <w:b/>
          <w:bCs/>
          <w:sz w:val="24"/>
        </w:rPr>
        <w:t>What is the timeline? How long will it take for the experts to conclude the valuation process?</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rFonts w:ascii="Times New Roman" w:hAnsi="Times New Roman" w:cs="Times New Roman"/>
          <w:sz w:val="24"/>
        </w:rPr>
      </w:pPr>
      <w:r>
        <w:rPr>
          <w:rFonts w:cs="Times New Roman" w:ascii="Times New Roman" w:hAnsi="Times New Roman"/>
          <w:sz w:val="24"/>
        </w:rPr>
        <w:t>There is not a definite timeframe for the valuation process.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rPr>
      </w:pPr>
      <w:r>
        <w:rPr>
          <w:rFonts w:cs="Times New Roman" w:ascii="Times New Roman" w:hAnsi="Times New Roman"/>
          <w:b/>
          <w:bCs/>
          <w:sz w:val="24"/>
        </w:rPr>
        <w:t>When will you finally terminate the PPA? Will it happen on November 19, 2001, which is 6 months after issuing the first PTN’s?</w:t>
      </w:r>
    </w:p>
    <w:p>
      <w:pPr>
        <w:pStyle w:val="BodyText"/>
        <w:rPr>
          <w:rFonts w:ascii="Times New Roman" w:hAnsi="Times New Roman" w:cs="Times New Roman"/>
          <w:b/>
          <w:bCs/>
          <w:sz w:val="24"/>
        </w:rPr>
      </w:pPr>
      <w:r>
        <w:rPr>
          <w:rFonts w:cs="Times New Roman" w:ascii="Times New Roman" w:hAnsi="Times New Roman"/>
          <w:b/>
          <w:bCs/>
          <w:sz w:val="24"/>
        </w:rPr>
      </w:r>
    </w:p>
    <w:p>
      <w:pPr>
        <w:pStyle w:val="Normal"/>
        <w:rPr/>
      </w:pPr>
      <w:r>
        <w:rPr/>
        <w:t xml:space="preserve">The contract can be terminated as early as November 19, but no decision has been made on when the actual termination may occur.   </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2001-11-02T18:11:00Z</dcterms:created>
  <dc:creator>Johan Zaayman</dc:creator>
  <dc:description/>
  <dc:language>en-CA</dc:language>
  <cp:lastModifiedBy>John Ambler</cp:lastModifiedBy>
  <dcterms:modified xsi:type="dcterms:W3CDTF">2001-11-02T18:11:00Z</dcterms:modified>
  <cp:revision>2</cp:revision>
  <dc:subject/>
  <dc:title/>
</cp:coreProperties>
</file>