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2.xml.rels" ContentType="application/vnd.openxmlformats-package.relationships+xml"/>
  <Override PartName="/word/_rels/footer4.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5.xml" ContentType="application/vnd.openxmlformats-officedocument.wordprocessingml.footer+xml"/>
  <Override PartName="/word/media/image1.png" ContentType="image/png"/>
  <Override PartName="/word/media/image2.png" ContentType="image/png"/>
  <Override PartName="/word/media/image3.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0"/>
        </w:rPr>
      </w:pPr>
      <w:r>
        <w:rPr>
          <w:sz w:val="40"/>
        </w:rPr>
      </w:r>
    </w:p>
    <w:p>
      <w:pPr>
        <w:pStyle w:val="Normal"/>
        <w:jc w:val="center"/>
        <w:rPr>
          <w:sz w:val="40"/>
        </w:rPr>
      </w:pPr>
      <w:r>
        <w:rPr>
          <w:sz w:val="40"/>
        </w:rPr>
      </w:r>
    </w:p>
    <w:p>
      <w:pPr>
        <w:pStyle w:val="Normal"/>
        <w:jc w:val="center"/>
        <w:rPr>
          <w:b/>
          <w:sz w:val="40"/>
        </w:rPr>
      </w:pPr>
      <w:r>
        <w:rPr>
          <w:b/>
          <w:sz w:val="40"/>
        </w:rPr>
        <w:t>Wholesale Power Supply Proposal</w:t>
      </w:r>
    </w:p>
    <w:p>
      <w:pPr>
        <w:pStyle w:val="Normal"/>
        <w:ind w:start="0" w:end="0"/>
        <w:rPr>
          <w:b/>
          <w:sz w:val="52"/>
        </w:rPr>
      </w:pPr>
      <w:r>
        <w:rPr>
          <w:b/>
          <w:sz w:val="52"/>
        </w:rPr>
      </w:r>
    </w:p>
    <w:p>
      <w:pPr>
        <w:pStyle w:val="Normal"/>
        <w:jc w:val="center"/>
        <w:rPr>
          <w:sz w:val="40"/>
        </w:rPr>
      </w:pPr>
      <w:r>
        <w:rPr>
          <w:sz w:val="40"/>
        </w:rPr>
      </w:r>
    </w:p>
    <w:p>
      <w:pPr>
        <w:pStyle w:val="Normal"/>
        <w:jc w:val="center"/>
        <w:rPr/>
      </w:pPr>
      <w:r>
        <w:rPr/>
        <w:t>Prepared for:</w:t>
      </w:r>
    </w:p>
    <w:p>
      <w:pPr>
        <w:pStyle w:val="Normal"/>
        <w:jc w:val="center"/>
        <w:rPr/>
      </w:pPr>
      <w:r>
        <w:rPr/>
      </w:r>
    </w:p>
    <w:p>
      <w:pPr>
        <w:pStyle w:val="Normal"/>
        <w:jc w:val="center"/>
        <w:rPr>
          <w:b/>
          <w:sz w:val="32"/>
        </w:rPr>
      </w:pPr>
      <w:r>
        <w:rPr>
          <w:b/>
          <w:sz w:val="32"/>
        </w:rPr>
        <w:t>Dairyland Power Cooperative</w:t>
      </w:r>
    </w:p>
    <w:p>
      <w:pPr>
        <w:pStyle w:val="Normal"/>
        <w:jc w:val="center"/>
        <w:rPr>
          <w:b/>
          <w:sz w:val="32"/>
        </w:rPr>
      </w:pPr>
      <w:r>
        <w:rPr>
          <w:b/>
          <w:sz w:val="32"/>
        </w:rPr>
      </w:r>
    </w:p>
    <w:p>
      <w:pPr>
        <w:pStyle w:val="Normal"/>
        <w:jc w:val="center"/>
        <w:rPr>
          <w:b/>
          <w:sz w:val="40"/>
          <w:lang w:val="en-CA"/>
        </w:rPr>
      </w:pPr>
      <w:r>
        <w:rPr>
          <w:b/>
          <w:sz w:val="40"/>
          <w:lang w:val="en-CA"/>
        </w:rPr>
        <w:drawing>
          <wp:anchor behindDoc="0" distT="0" distB="0" distL="114935" distR="114935" simplePos="0" locked="0" layoutInCell="0" allowOverlap="1" relativeHeight="6">
            <wp:simplePos x="0" y="0"/>
            <wp:positionH relativeFrom="column">
              <wp:posOffset>1143000</wp:posOffset>
            </wp:positionH>
            <wp:positionV relativeFrom="paragraph">
              <wp:posOffset>194310</wp:posOffset>
            </wp:positionV>
            <wp:extent cx="3790950" cy="63817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56" r="-9" b="-56"/>
                    <a:stretch>
                      <a:fillRect/>
                    </a:stretch>
                  </pic:blipFill>
                  <pic:spPr bwMode="auto">
                    <a:xfrm>
                      <a:off x="0" y="0"/>
                      <a:ext cx="3790950" cy="638175"/>
                    </a:xfrm>
                    <a:prstGeom prst="rect">
                      <a:avLst/>
                    </a:prstGeom>
                    <a:noFill/>
                  </pic:spPr>
                </pic:pic>
              </a:graphicData>
            </a:graphic>
          </wp:anchor>
        </w:drawing>
      </w:r>
    </w:p>
    <w:p>
      <w:pPr>
        <w:pStyle w:val="Normal"/>
        <w:jc w:val="center"/>
        <w:rPr>
          <w:sz w:val="40"/>
        </w:rPr>
      </w:pPr>
      <w:r>
        <w:rPr>
          <w:sz w:val="40"/>
        </w:rPr>
      </w:r>
    </w:p>
    <w:p>
      <w:pPr>
        <w:pStyle w:val="Normal"/>
        <w:jc w:val="center"/>
        <w:rPr>
          <w:sz w:val="40"/>
          <w:lang w:val="en-CA"/>
        </w:rPr>
      </w:pPr>
      <w:r>
        <w:rPr>
          <w:sz w:val="40"/>
          <w:lang w:val="en-CA"/>
        </w:rPr>
        <w:object w:dxaOrig="2025" w:dyaOrig="170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83.6pt;margin-top:5.8pt;width:101.25pt;height:85.5pt;mso-wrap-distance-left:9.05pt;mso-wrap-distance-right:9.05pt;mso-position-horizontal-relative:text;mso-position-vertical-relative:text" filled="f" o:ole="">
            <v:imagedata r:id="rId4" o:title=""/>
            <w10:wrap type="topAndBottom"/>
          </v:shape>
          <o:OLEObject Type="Embed" ProgID="" ShapeID="ole_rId3" DrawAspect="Content" ObjectID="_1480483161" r:id="rId3"/>
        </w:object>
      </w:r>
    </w:p>
    <w:p>
      <w:pPr>
        <w:pStyle w:val="Normal"/>
        <w:jc w:val="center"/>
        <w:rPr/>
      </w:pPr>
      <w:r>
        <w:rPr/>
        <w:t>Submitted by:</w:t>
      </w:r>
    </w:p>
    <w:p>
      <w:pPr>
        <w:pStyle w:val="Normal"/>
        <w:jc w:val="center"/>
        <w:rPr/>
      </w:pPr>
      <w:r>
        <w:rPr/>
      </w:r>
    </w:p>
    <w:p>
      <w:pPr>
        <w:pStyle w:val="Normal"/>
        <w:jc w:val="center"/>
        <w:rPr>
          <w:b/>
          <w:sz w:val="32"/>
        </w:rPr>
      </w:pPr>
      <w:r>
        <w:rPr>
          <w:b/>
          <w:sz w:val="32"/>
        </w:rPr>
        <w:t>Enron North America Corp.</w:t>
      </w:r>
    </w:p>
    <w:p>
      <w:pPr>
        <w:pStyle w:val="Normal"/>
        <w:jc w:val="center"/>
        <w:rPr/>
      </w:pPr>
      <w:r>
        <w:rPr/>
        <w:t>1400 Smith Street</w:t>
      </w:r>
    </w:p>
    <w:p>
      <w:pPr>
        <w:pStyle w:val="Normal"/>
        <w:jc w:val="center"/>
        <w:rPr/>
      </w:pPr>
      <w:r>
        <w:rPr/>
        <w:t>Houston, TX  77002-7361</w:t>
      </w:r>
    </w:p>
    <w:p>
      <w:pPr>
        <w:pStyle w:val="Normal"/>
        <w:jc w:val="center"/>
        <w:rPr/>
      </w:pPr>
      <w:r>
        <w:rPr/>
      </w:r>
    </w:p>
    <w:p>
      <w:pPr>
        <w:pStyle w:val="Normal"/>
        <w:jc w:val="center"/>
        <w:rPr/>
      </w:pPr>
      <w:r>
        <w:rPr/>
        <w:t>April 21, 2000</w:t>
      </w:r>
    </w:p>
    <w:p>
      <w:pPr>
        <w:pStyle w:val="Normal"/>
        <w:jc w:val="center"/>
        <w:rPr>
          <w:b/>
          <w:i/>
          <w:i/>
          <w:color w:val="FF0000"/>
        </w:rPr>
      </w:pPr>
      <w:r>
        <w:rPr>
          <w:b/>
          <w:i/>
          <w:color w:val="FF0000"/>
        </w:rPr>
      </w:r>
    </w:p>
    <w:p>
      <w:pPr>
        <w:sectPr>
          <w:footerReference w:type="default" r:id="rId5"/>
          <w:type w:val="nextPage"/>
          <w:pgSz w:w="12240" w:h="15840"/>
          <w:pgMar w:left="1800" w:right="1350" w:gutter="0" w:header="0" w:top="1440" w:footer="720" w:bottom="1440"/>
          <w:pgNumType w:fmt="decimal"/>
          <w:formProt w:val="false"/>
          <w:textDirection w:val="lrTb"/>
          <w:docGrid w:type="default" w:linePitch="360" w:charSpace="0"/>
        </w:sectPr>
        <w:pStyle w:val="Normal"/>
        <w:jc w:val="center"/>
        <w:rPr>
          <w:b/>
          <w:i/>
          <w:i/>
          <w:color w:val="FF0000"/>
        </w:rPr>
      </w:pPr>
      <w:r>
        <w:rPr>
          <w:b/>
          <w:i/>
          <w:color w:val="FF0000"/>
        </w:rPr>
        <w:t>Confidential</w:t>
      </w:r>
    </w:p>
    <w:p>
      <w:pPr>
        <w:pStyle w:val="Normal"/>
        <w:jc w:val="center"/>
        <w:rPr>
          <w:b/>
          <w:sz w:val="40"/>
        </w:rPr>
      </w:pPr>
      <w:r>
        <w:rPr>
          <w:b/>
          <w:sz w:val="40"/>
        </w:rPr>
        <w:t>Table of Contents</w:t>
      </w:r>
    </w:p>
    <w:p>
      <w:pPr>
        <w:pStyle w:val="Normal"/>
        <w:jc w:val="center"/>
        <w:rPr>
          <w:b/>
          <w:sz w:val="40"/>
        </w:rPr>
      </w:pPr>
      <w:r>
        <w:rPr>
          <w:b/>
          <w:sz w:val="40"/>
        </w:rPr>
      </w:r>
    </w:p>
    <w:sdt>
      <w:sdtPr>
        <w:docPartObj>
          <w:docPartGallery w:val="Table of Contents"/>
          <w:docPartUnique w:val="true"/>
        </w:docPartObj>
      </w:sdtPr>
      <w:sdtContent>
        <w:p>
          <w:pPr>
            <w:pStyle w:val="TOC1"/>
            <w:rPr>
              <w:b w:val="false"/>
            </w:rPr>
          </w:pPr>
          <w:r>
            <w:fldChar w:fldCharType="begin"/>
          </w:r>
          <w:r>
            <w:rPr>
              <w:b w:val="false"/>
            </w:rPr>
            <w:instrText xml:space="preserve"> TOC \o "1-3" </w:instrText>
          </w:r>
          <w:r>
            <w:rPr>
              <w:b w:val="false"/>
            </w:rPr>
            <w:fldChar w:fldCharType="separate"/>
          </w:r>
          <w:r>
            <w:rPr>
              <w:b w:val="false"/>
            </w:rPr>
            <w:t>1.0</w:t>
            <w:tab/>
            <w:t>Executive Summary</w:t>
            <w:tab/>
          </w:r>
          <w:hyperlink w:anchor="__RefHeading___Toc480103408">
            <w:r>
              <w:rPr>
                <w:rStyle w:val="IndexLink"/>
                <w:b w:val="false"/>
              </w:rPr>
              <w:t>3</w:t>
            </w:r>
          </w:hyperlink>
        </w:p>
        <w:p>
          <w:pPr>
            <w:pStyle w:val="TOC1"/>
            <w:rPr/>
          </w:pPr>
          <w:r>
            <w:rPr/>
            <w:t>2.0</w:t>
            <w:tab/>
            <w:t>Respondent Information</w:t>
            <w:tab/>
          </w:r>
          <w:hyperlink w:anchor="__RefHeading___Toc480103409">
            <w:r>
              <w:rPr>
                <w:rStyle w:val="IndexLink"/>
              </w:rPr>
              <w:t>4</w:t>
            </w:r>
          </w:hyperlink>
        </w:p>
        <w:p>
          <w:pPr>
            <w:pStyle w:val="TOC1"/>
            <w:rPr/>
          </w:pPr>
          <w:r>
            <w:rPr/>
            <w:t>3.0</w:t>
            <w:tab/>
            <w:t>Enron’s Proposal</w:t>
            <w:tab/>
          </w:r>
          <w:hyperlink w:anchor="__RefHeading___Toc480103410">
            <w:r>
              <w:rPr>
                <w:rStyle w:val="IndexLink"/>
              </w:rPr>
              <w:t>5</w:t>
            </w:r>
          </w:hyperlink>
        </w:p>
        <w:p>
          <w:pPr>
            <w:pStyle w:val="TOC2"/>
            <w:tabs>
              <w:tab w:val="left" w:pos="900" w:leader="none"/>
              <w:tab w:val="left" w:pos="1440" w:leader="none"/>
              <w:tab w:val="right" w:pos="8630" w:leader="underscore"/>
            </w:tabs>
            <w:rPr/>
          </w:pPr>
          <w:r>
            <w:rPr/>
            <w:t>3.1</w:t>
            <w:tab/>
            <w:t>Overview</w:t>
            <w:tab/>
          </w:r>
          <w:hyperlink w:anchor="__RefHeading___Toc480103411">
            <w:r>
              <w:rPr>
                <w:rStyle w:val="IndexLink"/>
              </w:rPr>
              <w:t>5</w:t>
            </w:r>
          </w:hyperlink>
        </w:p>
        <w:p>
          <w:pPr>
            <w:pStyle w:val="TOC2"/>
            <w:tabs>
              <w:tab w:val="left" w:pos="900" w:leader="none"/>
              <w:tab w:val="left" w:pos="1440" w:leader="none"/>
              <w:tab w:val="right" w:pos="8630" w:leader="underscore"/>
            </w:tabs>
            <w:rPr/>
          </w:pPr>
          <w:r>
            <w:rPr/>
            <w:t>3.2</w:t>
            <w:tab/>
            <w:t>Economics</w:t>
            <w:tab/>
          </w:r>
          <w:hyperlink w:anchor="__RefHeading___Toc480103412">
            <w:r>
              <w:rPr>
                <w:rStyle w:val="IndexLink"/>
              </w:rPr>
              <w:t>5</w:t>
            </w:r>
          </w:hyperlink>
        </w:p>
        <w:p>
          <w:pPr>
            <w:pStyle w:val="TOC2"/>
            <w:tabs>
              <w:tab w:val="left" w:pos="900" w:leader="none"/>
              <w:tab w:val="left" w:pos="1440" w:leader="none"/>
              <w:tab w:val="right" w:pos="8630" w:leader="underscore"/>
            </w:tabs>
            <w:rPr/>
          </w:pPr>
          <w:r>
            <w:rPr/>
            <w:t>3.3</w:t>
            <w:tab/>
            <w:t>Financing</w:t>
            <w:tab/>
          </w:r>
          <w:hyperlink w:anchor="__RefHeading___Toc480103413">
            <w:r>
              <w:rPr>
                <w:rStyle w:val="IndexLink"/>
              </w:rPr>
              <w:t>6</w:t>
            </w:r>
          </w:hyperlink>
        </w:p>
        <w:p>
          <w:pPr>
            <w:pStyle w:val="TOC2"/>
            <w:tabs>
              <w:tab w:val="left" w:pos="900" w:leader="none"/>
              <w:tab w:val="left" w:pos="1440" w:leader="none"/>
              <w:tab w:val="right" w:pos="8630" w:leader="underscore"/>
            </w:tabs>
            <w:rPr/>
          </w:pPr>
          <w:r>
            <w:rPr/>
            <w:t>3.4</w:t>
            <w:tab/>
            <w:t>Permitting</w:t>
            <w:tab/>
          </w:r>
          <w:hyperlink w:anchor="__RefHeading___Toc480103414">
            <w:r>
              <w:rPr>
                <w:rStyle w:val="IndexLink"/>
              </w:rPr>
              <w:t>6</w:t>
            </w:r>
          </w:hyperlink>
        </w:p>
        <w:p>
          <w:pPr>
            <w:pStyle w:val="TOC1"/>
            <w:rPr/>
          </w:pPr>
          <w:r>
            <w:rPr/>
            <w:t>4.0</w:t>
            <w:tab/>
            <w:t>Plant Description</w:t>
            <w:tab/>
          </w:r>
          <w:hyperlink w:anchor="__RefHeading___Toc480103415">
            <w:r>
              <w:rPr>
                <w:rStyle w:val="IndexLink"/>
              </w:rPr>
              <w:t>7</w:t>
            </w:r>
          </w:hyperlink>
        </w:p>
        <w:p>
          <w:pPr>
            <w:pStyle w:val="TOC2"/>
            <w:tabs>
              <w:tab w:val="left" w:pos="900" w:leader="none"/>
              <w:tab w:val="left" w:pos="1440" w:leader="none"/>
              <w:tab w:val="right" w:pos="8630" w:leader="underscore"/>
            </w:tabs>
            <w:rPr/>
          </w:pPr>
          <w:r>
            <w:rPr/>
            <w:t>4.1</w:t>
            <w:tab/>
            <w:t>Overview</w:t>
            <w:tab/>
          </w:r>
          <w:hyperlink w:anchor="__RefHeading___Toc480103416">
            <w:r>
              <w:rPr>
                <w:rStyle w:val="IndexLink"/>
              </w:rPr>
              <w:t>7</w:t>
            </w:r>
          </w:hyperlink>
        </w:p>
        <w:p>
          <w:pPr>
            <w:pStyle w:val="TOC2"/>
            <w:tabs>
              <w:tab w:val="left" w:pos="900" w:leader="none"/>
              <w:tab w:val="left" w:pos="1440" w:leader="none"/>
              <w:tab w:val="right" w:pos="8630" w:leader="underscore"/>
            </w:tabs>
            <w:rPr/>
          </w:pPr>
          <w:r>
            <w:rPr/>
            <w:t>4.2</w:t>
            <w:tab/>
            <w:t>Performance</w:t>
            <w:tab/>
          </w:r>
          <w:hyperlink w:anchor="__RefHeading___Toc480103417">
            <w:r>
              <w:rPr>
                <w:rStyle w:val="IndexLink"/>
              </w:rPr>
              <w:t>7</w:t>
            </w:r>
          </w:hyperlink>
        </w:p>
        <w:p>
          <w:pPr>
            <w:pStyle w:val="TOC2"/>
            <w:tabs>
              <w:tab w:val="left" w:pos="900" w:leader="none"/>
              <w:tab w:val="left" w:pos="1440" w:leader="none"/>
              <w:tab w:val="right" w:pos="8630" w:leader="underscore"/>
            </w:tabs>
            <w:rPr/>
          </w:pPr>
          <w:r>
            <w:rPr/>
            <w:t>4.3</w:t>
            <w:tab/>
            <w:t>Site Development</w:t>
            <w:tab/>
          </w:r>
          <w:hyperlink w:anchor="__RefHeading___Toc480103418">
            <w:r>
              <w:rPr>
                <w:rStyle w:val="IndexLink"/>
              </w:rPr>
              <w:t>7</w:t>
            </w:r>
          </w:hyperlink>
        </w:p>
        <w:p>
          <w:pPr>
            <w:pStyle w:val="TOC2"/>
            <w:tabs>
              <w:tab w:val="left" w:pos="900" w:leader="none"/>
              <w:tab w:val="left" w:pos="1440" w:leader="none"/>
              <w:tab w:val="right" w:pos="8630" w:leader="underscore"/>
            </w:tabs>
            <w:rPr/>
          </w:pPr>
          <w:r>
            <w:rPr/>
            <w:t>4.4</w:t>
            <w:tab/>
            <w:t>Fuel Supply</w:t>
            <w:tab/>
          </w:r>
          <w:hyperlink w:anchor="__RefHeading___Toc480103419">
            <w:r>
              <w:rPr>
                <w:rStyle w:val="IndexLink"/>
              </w:rPr>
              <w:t>8</w:t>
            </w:r>
          </w:hyperlink>
        </w:p>
        <w:p>
          <w:pPr>
            <w:pStyle w:val="TOC2"/>
            <w:tabs>
              <w:tab w:val="left" w:pos="900" w:leader="none"/>
              <w:tab w:val="left" w:pos="1440" w:leader="none"/>
              <w:tab w:val="right" w:pos="8630" w:leader="underscore"/>
            </w:tabs>
            <w:rPr/>
          </w:pPr>
          <w:r>
            <w:rPr/>
            <w:t>4.5</w:t>
            <w:tab/>
            <w:t>Electrical Interconnection</w:t>
            <w:tab/>
          </w:r>
          <w:hyperlink w:anchor="__RefHeading___Toc480103420">
            <w:r>
              <w:rPr>
                <w:rStyle w:val="IndexLink"/>
              </w:rPr>
              <w:t>8</w:t>
            </w:r>
          </w:hyperlink>
        </w:p>
        <w:p>
          <w:pPr>
            <w:pStyle w:val="TOC1"/>
            <w:rPr/>
          </w:pPr>
          <w:r>
            <w:rPr/>
            <w:t>5.0</w:t>
            <w:tab/>
            <w:t>Appendices</w:t>
            <w:tab/>
          </w:r>
          <w:hyperlink w:anchor="__RefHeading___Toc480103421">
            <w:r>
              <w:rPr>
                <w:rStyle w:val="IndexLink"/>
              </w:rPr>
              <w:t>9</w:t>
            </w:r>
          </w:hyperlink>
        </w:p>
        <w:p>
          <w:pPr>
            <w:pStyle w:val="TOC2"/>
            <w:tabs>
              <w:tab w:val="left" w:pos="900" w:leader="none"/>
              <w:tab w:val="left" w:pos="1440" w:leader="none"/>
              <w:tab w:val="right" w:pos="8630" w:leader="underscore"/>
            </w:tabs>
            <w:rPr/>
          </w:pPr>
          <w:r>
            <w:rPr/>
            <w:t>5.1</w:t>
            <w:tab/>
            <w:t>Next Steps</w:t>
            <w:tab/>
          </w:r>
          <w:hyperlink w:anchor="__RefHeading___Toc480103422">
            <w:r>
              <w:rPr>
                <w:rStyle w:val="IndexLink"/>
              </w:rPr>
              <w:t>9</w:t>
            </w:r>
          </w:hyperlink>
        </w:p>
        <w:p>
          <w:pPr>
            <w:pStyle w:val="TOC2"/>
            <w:tabs>
              <w:tab w:val="left" w:pos="900" w:leader="none"/>
              <w:tab w:val="left" w:pos="1440" w:leader="none"/>
              <w:tab w:val="right" w:pos="8630" w:leader="underscore"/>
            </w:tabs>
            <w:rPr/>
          </w:pPr>
          <w:r>
            <w:rPr/>
            <w:t>5.2</w:t>
            <w:tab/>
            <w:t>Enron Project Team</w:t>
            <w:tab/>
          </w:r>
          <w:hyperlink w:anchor="__RefHeading___Toc480103423">
            <w:r>
              <w:rPr>
                <w:rStyle w:val="IndexLink"/>
              </w:rPr>
              <w:t>9</w:t>
            </w:r>
          </w:hyperlink>
        </w:p>
        <w:p>
          <w:pPr>
            <w:pStyle w:val="TOC2"/>
            <w:tabs>
              <w:tab w:val="left" w:pos="900" w:leader="none"/>
              <w:tab w:val="left" w:pos="1440" w:leader="none"/>
              <w:tab w:val="right" w:pos="8630" w:leader="underscore"/>
            </w:tabs>
            <w:rPr/>
          </w:pPr>
          <w:r>
            <w:rPr/>
            <w:t>5.3</w:t>
            <w:tab/>
            <w:t>LM6000 Brochure</w:t>
            <w:tab/>
          </w:r>
          <w:hyperlink w:anchor="__RefHeading___Toc480103424">
            <w:r>
              <w:rPr>
                <w:rStyle w:val="IndexLink"/>
              </w:rPr>
              <w:t>10</w:t>
            </w:r>
          </w:hyperlink>
        </w:p>
        <w:p>
          <w:pPr>
            <w:pStyle w:val="TOC2"/>
            <w:tabs>
              <w:tab w:val="left" w:pos="900" w:leader="none"/>
              <w:tab w:val="left" w:pos="1440" w:leader="none"/>
              <w:tab w:val="right" w:pos="8630" w:leader="underscore"/>
            </w:tabs>
            <w:rPr/>
          </w:pPr>
          <w:r>
            <w:rPr/>
            <w:t>5.4</w:t>
            <w:tab/>
            <w:t>Enron Power Brochure</w:t>
            <w:tab/>
          </w:r>
          <w:hyperlink w:anchor="__RefHeading___Toc480103425">
            <w:r>
              <w:rPr>
                <w:rStyle w:val="IndexLink"/>
              </w:rPr>
              <w:t>10</w:t>
            </w:r>
          </w:hyperlink>
        </w:p>
        <w:p>
          <w:pPr>
            <w:pStyle w:val="TOC2"/>
            <w:tabs>
              <w:tab w:val="left" w:pos="900" w:leader="none"/>
              <w:tab w:val="left" w:pos="1440" w:leader="none"/>
              <w:tab w:val="right" w:pos="8630" w:leader="underscore"/>
            </w:tabs>
            <w:rPr/>
          </w:pPr>
          <w:r>
            <w:rPr/>
            <w:t>5.5</w:t>
            <w:tab/>
            <w:t>Enron Corp. Annual Report</w:t>
            <w:tab/>
          </w:r>
          <w:hyperlink w:anchor="__RefHeading___Toc480103426">
            <w:r>
              <w:rPr>
                <w:rStyle w:val="IndexLink"/>
              </w:rPr>
              <w:t>10</w:t>
            </w:r>
          </w:hyperlink>
        </w:p>
        <w:p>
          <w:pPr>
            <w:pStyle w:val="TOC2"/>
            <w:tabs>
              <w:tab w:val="left" w:pos="900" w:leader="none"/>
              <w:tab w:val="left" w:pos="1440" w:leader="none"/>
              <w:tab w:val="right" w:pos="8630" w:leader="underscore"/>
            </w:tabs>
            <w:rPr/>
          </w:pPr>
          <w:r>
            <w:rPr/>
            <w:t>5.6</w:t>
            <w:tab/>
            <w:t>Disclaimer</w:t>
            <w:tab/>
          </w:r>
          <w:hyperlink w:anchor="__RefHeading___Toc480103427">
            <w:r>
              <w:rPr>
                <w:rStyle w:val="IndexLink"/>
              </w:rPr>
              <w:t>11</w:t>
            </w:r>
          </w:hyperlink>
          <w:r>
            <w:rPr>
              <w:rStyle w:val="IndexLink"/>
            </w:rPr>
            <w:fldChar w:fldCharType="end"/>
          </w:r>
        </w:p>
      </w:sdtContent>
    </w:sdt>
    <w:p>
      <w:pPr>
        <w:sectPr>
          <w:footerReference w:type="default" r:id="rId6"/>
          <w:footerReference w:type="first" r:id="rId7"/>
          <w:type w:val="nextPage"/>
          <w:pgSz w:w="12240" w:h="15840"/>
          <w:pgMar w:left="1800" w:right="1350" w:gutter="0" w:header="0" w:top="1440" w:footer="720" w:bottom="1440"/>
          <w:pgNumType w:fmt="decimal"/>
          <w:formProt w:val="false"/>
          <w:textDirection w:val="lrTb"/>
          <w:docGrid w:type="default" w:linePitch="360" w:charSpace="0"/>
        </w:sectPr>
        <w:pStyle w:val="Normal"/>
        <w:numPr>
          <w:ilvl w:val="0"/>
          <w:numId w:val="0"/>
        </w:numPr>
        <w:ind w:hanging="0" w:start="540"/>
        <w:rPr>
          <w:sz w:val="40"/>
        </w:rPr>
      </w:pPr>
      <w:r>
        <w:rPr>
          <w:sz w:val="40"/>
        </w:rPr>
      </w:r>
    </w:p>
    <w:p>
      <w:pPr>
        <w:pStyle w:val="Heading1"/>
        <w:rPr/>
      </w:pPr>
      <w:bookmarkStart w:id="0" w:name="__RefHeading___Toc480103408"/>
      <w:bookmarkEnd w:id="0"/>
      <w:r>
        <w:rPr/>
        <w:t>Executive Summary</w:t>
      </w:r>
    </w:p>
    <w:p>
      <w:pPr>
        <w:pStyle w:val="BodyTextIndent2"/>
        <w:tabs>
          <w:tab w:val="clear" w:pos="720"/>
          <w:tab w:val="left" w:pos="1080" w:leader="none"/>
        </w:tabs>
        <w:ind w:start="540" w:end="0"/>
        <w:rPr/>
      </w:pPr>
      <w:r>
        <w:rPr/>
        <w:t>After speaking with Dairyland Power Cooperative (DPC), it is Enron’s understanding that DPC is looking to fulfill it’s energy requirements for the future.  DPC is currently in the process of constructing a peaking facility (i.e. 2 x 6 B’s) located near LaCross, Wisconsin.  This additional generation will be used to cover DPC’s current peak load.  DPC is however now interested in two additional peaking machines to keep up with their growing load, estimated to begin in 2003.</w:t>
      </w:r>
    </w:p>
    <w:p>
      <w:pPr>
        <w:pStyle w:val="Normal"/>
        <w:tabs>
          <w:tab w:val="clear" w:pos="720"/>
          <w:tab w:val="left" w:pos="540" w:leader="none"/>
        </w:tabs>
        <w:rPr/>
      </w:pPr>
      <w:r>
        <w:rPr/>
      </w:r>
    </w:p>
    <w:p>
      <w:pPr>
        <w:pStyle w:val="BodyTextIndent"/>
        <w:tabs>
          <w:tab w:val="clear" w:pos="720"/>
          <w:tab w:val="left" w:pos="540" w:leader="none"/>
        </w:tabs>
        <w:rPr/>
      </w:pPr>
      <w:r>
        <w:rPr/>
        <w:t>To help in this process, Enron is proposing the construction of a 90 MW gas-fired generation station connected to DPC’s transmission system. In addition, Enron will purchase capacity before it is needed by DPC. The capacity purchased by Enron will mitigate the capital cost of the project to improve overall project economics. This proposal creates a very competitive solution for DPC’s peaking capacity needs.</w:t>
      </w:r>
    </w:p>
    <w:p>
      <w:pPr>
        <w:pStyle w:val="BodyTextIndent"/>
        <w:tabs>
          <w:tab w:val="clear" w:pos="720"/>
          <w:tab w:val="left" w:pos="540" w:leader="none"/>
        </w:tabs>
        <w:rPr/>
      </w:pPr>
      <w:r>
        <w:rPr/>
      </w:r>
    </w:p>
    <w:p>
      <w:pPr>
        <w:pStyle w:val="Normal"/>
        <w:tabs>
          <w:tab w:val="clear" w:pos="720"/>
          <w:tab w:val="left" w:pos="540" w:leader="none"/>
        </w:tabs>
        <w:rPr/>
      </w:pPr>
      <w:r>
        <w:rPr/>
        <w:t>Enron’s qualifications for delivering a valuable solution to DPC are unmatched.  These qualifications include:</w:t>
      </w:r>
    </w:p>
    <w:p>
      <w:pPr>
        <w:pStyle w:val="Normal"/>
        <w:tabs>
          <w:tab w:val="clear" w:pos="720"/>
          <w:tab w:val="left" w:pos="540" w:leader="none"/>
        </w:tabs>
        <w:rPr/>
      </w:pPr>
      <w:r>
        <w:rPr/>
      </w:r>
    </w:p>
    <w:p>
      <w:pPr>
        <w:pStyle w:val="Normal"/>
        <w:numPr>
          <w:ilvl w:val="0"/>
          <w:numId w:val="5"/>
        </w:numPr>
        <w:tabs>
          <w:tab w:val="clear" w:pos="720"/>
        </w:tabs>
        <w:ind w:hanging="360" w:start="1350" w:end="0"/>
        <w:rPr/>
      </w:pPr>
      <w:r>
        <w:rPr/>
        <w:t>Largest power marketer in North America</w:t>
      </w:r>
    </w:p>
    <w:p>
      <w:pPr>
        <w:pStyle w:val="Normal"/>
        <w:rPr/>
      </w:pPr>
      <w:r>
        <w:rPr/>
      </w:r>
    </w:p>
    <w:p>
      <w:pPr>
        <w:pStyle w:val="Normal"/>
        <w:numPr>
          <w:ilvl w:val="0"/>
          <w:numId w:val="5"/>
        </w:numPr>
        <w:tabs>
          <w:tab w:val="clear" w:pos="720"/>
        </w:tabs>
        <w:ind w:hanging="360" w:start="1350" w:end="0"/>
        <w:rPr/>
      </w:pPr>
      <w:r>
        <w:rPr/>
        <w:t>Largest gas marketer in North America</w:t>
      </w:r>
    </w:p>
    <w:p>
      <w:pPr>
        <w:pStyle w:val="Normal"/>
        <w:rPr/>
      </w:pPr>
      <w:r>
        <w:rPr/>
      </w:r>
    </w:p>
    <w:p>
      <w:pPr>
        <w:pStyle w:val="Normal"/>
        <w:numPr>
          <w:ilvl w:val="0"/>
          <w:numId w:val="5"/>
        </w:numPr>
        <w:tabs>
          <w:tab w:val="clear" w:pos="720"/>
        </w:tabs>
        <w:ind w:hanging="360" w:start="1350" w:end="0"/>
        <w:rPr/>
      </w:pPr>
      <w:r>
        <w:rPr/>
        <w:t xml:space="preserve">Built, owns and operates over 11,000 MW of power generation </w:t>
      </w:r>
    </w:p>
    <w:p>
      <w:pPr>
        <w:pStyle w:val="Normal"/>
        <w:rPr/>
      </w:pPr>
      <w:r>
        <w:rPr/>
      </w:r>
    </w:p>
    <w:p>
      <w:pPr>
        <w:pStyle w:val="Normal"/>
        <w:numPr>
          <w:ilvl w:val="0"/>
          <w:numId w:val="5"/>
        </w:numPr>
        <w:tabs>
          <w:tab w:val="clear" w:pos="720"/>
        </w:tabs>
        <w:ind w:hanging="360" w:start="1350" w:end="0"/>
        <w:rPr/>
      </w:pPr>
      <w:r>
        <w:rPr/>
        <w:t>Active in the development, construction and operation of power plants in the United States</w:t>
      </w:r>
    </w:p>
    <w:p>
      <w:pPr>
        <w:pStyle w:val="Normal"/>
        <w:ind w:start="990" w:end="0"/>
        <w:rPr/>
      </w:pPr>
      <w:r>
        <w:rPr/>
      </w:r>
    </w:p>
    <w:p>
      <w:pPr>
        <w:pStyle w:val="BodyTextIndent"/>
        <w:rPr/>
      </w:pPr>
      <w:r>
        <w:rPr/>
        <w:t>Enron’s track record of domestic generation development includes:</w:t>
      </w:r>
    </w:p>
    <w:p>
      <w:pPr>
        <w:pStyle w:val="Normal"/>
        <w:ind w:start="990" w:end="0"/>
        <w:rPr/>
      </w:pPr>
      <w:r>
        <w:rPr/>
      </w:r>
    </w:p>
    <w:p>
      <w:pPr>
        <w:pStyle w:val="Normal"/>
        <w:numPr>
          <w:ilvl w:val="0"/>
          <w:numId w:val="5"/>
        </w:numPr>
        <w:tabs>
          <w:tab w:val="clear" w:pos="720"/>
        </w:tabs>
        <w:ind w:hanging="360" w:start="1350" w:end="0"/>
        <w:rPr/>
      </w:pPr>
      <w:r>
        <w:rPr/>
        <w:t>Enron is currently constructing over 2,700 MW of generation in the United States to come online before the Summer of 2000.</w:t>
      </w:r>
    </w:p>
    <w:p>
      <w:pPr>
        <w:pStyle w:val="Normal"/>
        <w:ind w:start="0" w:end="0"/>
        <w:rPr/>
      </w:pPr>
      <w:r>
        <w:rPr/>
      </w:r>
    </w:p>
    <w:p>
      <w:pPr>
        <w:pStyle w:val="Normal"/>
        <w:numPr>
          <w:ilvl w:val="0"/>
          <w:numId w:val="5"/>
        </w:numPr>
        <w:tabs>
          <w:tab w:val="clear" w:pos="720"/>
        </w:tabs>
        <w:ind w:hanging="360" w:start="1350" w:end="0"/>
        <w:rPr/>
      </w:pPr>
      <w:r>
        <w:rPr/>
        <w:t>Prior to the Summer of 1999, Enron completed construction of 1,300 MW of generation facilities in the Eastern Interconnect for which siting, permitting, and development began in May 1998.</w:t>
      </w:r>
    </w:p>
    <w:p>
      <w:pPr>
        <w:pStyle w:val="Normal"/>
        <w:ind w:hanging="360" w:start="1350" w:end="0"/>
        <w:rPr/>
      </w:pPr>
      <w:r>
        <w:rPr/>
      </w:r>
    </w:p>
    <w:p>
      <w:pPr>
        <w:pStyle w:val="Normal"/>
        <w:numPr>
          <w:ilvl w:val="0"/>
          <w:numId w:val="5"/>
        </w:numPr>
        <w:tabs>
          <w:tab w:val="clear" w:pos="720"/>
        </w:tabs>
        <w:ind w:hanging="360" w:start="1350" w:end="0"/>
        <w:rPr/>
      </w:pPr>
      <w:r>
        <w:rPr/>
        <w:t>Enron has developed facilities with various configurations, combustion turbine technology, and permitting requirements.</w:t>
      </w:r>
    </w:p>
    <w:p>
      <w:pPr>
        <w:pStyle w:val="Normal"/>
        <w:ind w:hanging="360" w:start="1350" w:end="0"/>
        <w:rPr/>
      </w:pPr>
      <w:r>
        <w:rPr/>
      </w:r>
    </w:p>
    <w:p>
      <w:pPr>
        <w:pStyle w:val="Normal"/>
        <w:numPr>
          <w:ilvl w:val="0"/>
          <w:numId w:val="5"/>
        </w:numPr>
        <w:tabs>
          <w:tab w:val="clear" w:pos="720"/>
        </w:tabs>
        <w:ind w:hanging="360" w:start="1350" w:end="0"/>
        <w:rPr/>
      </w:pPr>
      <w:r>
        <w:rPr/>
        <w:t>Enron has successfully completed development of projects with numerous types of emissions requirements and equipment; including wet (water and steam injection), dry (dry low NOx) and SCR (Selective Catalytic Reduction).</w:t>
      </w:r>
    </w:p>
    <w:p>
      <w:pPr>
        <w:pStyle w:val="Normal"/>
        <w:ind w:start="990" w:end="0"/>
        <w:rPr/>
      </w:pPr>
      <w:r>
        <w:rPr/>
      </w:r>
    </w:p>
    <w:p>
      <w:pPr>
        <w:pStyle w:val="Heading1"/>
        <w:rPr/>
      </w:pPr>
      <w:bookmarkStart w:id="1" w:name="__RefHeading___Toc480103409"/>
      <w:bookmarkEnd w:id="1"/>
      <w:r>
        <w:rPr/>
        <w:t>Respondent Information</w:t>
      </w:r>
    </w:p>
    <w:p>
      <w:pPr>
        <w:pStyle w:val="Normal"/>
        <w:tabs>
          <w:tab w:val="clear" w:pos="720"/>
          <w:tab w:val="left" w:pos="540" w:leader="none"/>
        </w:tabs>
        <w:rPr/>
      </w:pPr>
      <w:r>
        <w:rPr/>
      </w:r>
    </w:p>
    <w:p>
      <w:pPr>
        <w:pStyle w:val="Normal"/>
        <w:tabs>
          <w:tab w:val="clear" w:pos="720"/>
          <w:tab w:val="left" w:pos="540" w:leader="none"/>
        </w:tabs>
        <w:rPr/>
      </w:pPr>
      <w:r>
        <w:rPr/>
        <w:t>Name:</w:t>
        <w:tab/>
        <w:tab/>
        <w:t>Enron North America Corp.</w:t>
      </w:r>
    </w:p>
    <w:p>
      <w:pPr>
        <w:pStyle w:val="Normal"/>
        <w:tabs>
          <w:tab w:val="clear" w:pos="720"/>
          <w:tab w:val="left" w:pos="540" w:leader="none"/>
        </w:tabs>
        <w:rPr/>
      </w:pPr>
      <w:r>
        <w:rPr/>
        <w:tab/>
        <w:tab/>
        <w:tab/>
        <w:t>1400 Smith Street</w:t>
      </w:r>
    </w:p>
    <w:p>
      <w:pPr>
        <w:pStyle w:val="Normal"/>
        <w:tabs>
          <w:tab w:val="clear" w:pos="720"/>
          <w:tab w:val="left" w:pos="540" w:leader="none"/>
        </w:tabs>
        <w:rPr/>
      </w:pPr>
      <w:r>
        <w:rPr/>
        <w:tab/>
        <w:tab/>
        <w:tab/>
        <w:t>Houston, TX  77002-7361</w:t>
      </w:r>
    </w:p>
    <w:p>
      <w:pPr>
        <w:pStyle w:val="Normal"/>
        <w:tabs>
          <w:tab w:val="clear" w:pos="720"/>
          <w:tab w:val="left" w:pos="540" w:leader="none"/>
        </w:tabs>
        <w:rPr/>
      </w:pPr>
      <w:r>
        <w:rPr/>
      </w:r>
    </w:p>
    <w:p>
      <w:pPr>
        <w:pStyle w:val="BodyText2"/>
        <w:tabs>
          <w:tab w:val="clear" w:pos="720"/>
          <w:tab w:val="left" w:pos="540" w:leader="none"/>
        </w:tabs>
        <w:rPr/>
      </w:pPr>
      <w:r>
        <w:rPr/>
        <w:t>Parent:</w:t>
        <w:tab/>
        <w:tab/>
        <w:t>Enron Corp.</w:t>
      </w:r>
    </w:p>
    <w:p>
      <w:pPr>
        <w:pStyle w:val="Normal"/>
        <w:tabs>
          <w:tab w:val="clear" w:pos="720"/>
          <w:tab w:val="left" w:pos="540" w:leader="none"/>
        </w:tabs>
        <w:rPr/>
      </w:pPr>
      <w:r>
        <w:rPr/>
        <w:tab/>
        <w:tab/>
        <w:tab/>
        <w:t>1400 Smith Street</w:t>
      </w:r>
    </w:p>
    <w:p>
      <w:pPr>
        <w:pStyle w:val="Normal"/>
        <w:tabs>
          <w:tab w:val="clear" w:pos="720"/>
          <w:tab w:val="left" w:pos="540" w:leader="none"/>
        </w:tabs>
        <w:rPr/>
      </w:pPr>
      <w:r>
        <w:rPr/>
        <w:tab/>
        <w:tab/>
        <w:tab/>
        <w:t>Houston, TX  77002-7361</w:t>
      </w:r>
    </w:p>
    <w:p>
      <w:pPr>
        <w:pStyle w:val="Normal"/>
        <w:tabs>
          <w:tab w:val="clear" w:pos="720"/>
          <w:tab w:val="left" w:pos="540" w:leader="none"/>
        </w:tabs>
        <w:rPr/>
      </w:pPr>
      <w:r>
        <w:rPr/>
      </w:r>
    </w:p>
    <w:p>
      <w:pPr>
        <w:pStyle w:val="Normal"/>
        <w:tabs>
          <w:tab w:val="clear" w:pos="720"/>
          <w:tab w:val="left" w:pos="630" w:leader="none"/>
        </w:tabs>
        <w:ind w:hanging="1620" w:start="2160" w:end="0"/>
        <w:rPr/>
      </w:pPr>
      <w:r>
        <w:rPr/>
        <w:t>Description:</w:t>
        <w:tab/>
        <w:t>Enron is one of the world's leading integrated electricity and natural gas companies. The company, which owns approximately $34 billion in energy related assets, produces electricity and natural gas, develops, constructs and operates energy and water facilities worldwide and delivers physical commodities and risk management and financial services to customers around the world. Enron's Internet address is www.enron.com, and the stock is traded under the ticker symbol, "ENE."</w:t>
      </w:r>
    </w:p>
    <w:p>
      <w:pPr>
        <w:pStyle w:val="Normal"/>
        <w:tabs>
          <w:tab w:val="clear" w:pos="720"/>
          <w:tab w:val="left" w:pos="540" w:leader="none"/>
        </w:tabs>
        <w:rPr/>
      </w:pPr>
      <w:r>
        <w:rPr/>
      </w:r>
    </w:p>
    <w:p>
      <w:pPr>
        <w:pStyle w:val="Normal"/>
        <w:tabs>
          <w:tab w:val="clear" w:pos="720"/>
          <w:tab w:val="left" w:pos="540" w:leader="none"/>
        </w:tabs>
        <w:rPr/>
      </w:pPr>
      <w:r>
        <w:rPr/>
        <w:t>Contact:</w:t>
        <w:tab/>
        <w:tab/>
        <w:t>Russ Porter</w:t>
      </w:r>
    </w:p>
    <w:p>
      <w:pPr>
        <w:pStyle w:val="Normal"/>
        <w:tabs>
          <w:tab w:val="clear" w:pos="720"/>
          <w:tab w:val="left" w:pos="540" w:leader="none"/>
        </w:tabs>
        <w:rPr/>
      </w:pPr>
      <w:r>
        <w:rPr/>
        <w:t>Title:</w:t>
        <w:tab/>
        <w:tab/>
        <w:t>Manager</w:t>
      </w:r>
    </w:p>
    <w:p>
      <w:pPr>
        <w:pStyle w:val="Normal"/>
        <w:tabs>
          <w:tab w:val="clear" w:pos="720"/>
          <w:tab w:val="left" w:pos="540" w:leader="none"/>
        </w:tabs>
        <w:rPr/>
      </w:pPr>
      <w:r>
        <w:rPr/>
        <w:t>Phone:</w:t>
        <w:tab/>
        <w:tab/>
        <w:t>713-345-8410</w:t>
      </w:r>
    </w:p>
    <w:p>
      <w:pPr>
        <w:pStyle w:val="Normal"/>
        <w:tabs>
          <w:tab w:val="clear" w:pos="720"/>
          <w:tab w:val="left" w:pos="540" w:leader="none"/>
        </w:tabs>
        <w:rPr/>
      </w:pPr>
      <w:r>
        <w:rPr/>
        <w:t>Fax:</w:t>
        <w:tab/>
        <w:tab/>
        <w:t>713-646-4940</w:t>
      </w:r>
    </w:p>
    <w:p>
      <w:pPr>
        <w:pStyle w:val="Normal"/>
        <w:tabs>
          <w:tab w:val="clear" w:pos="720"/>
          <w:tab w:val="left" w:pos="540" w:leader="none"/>
        </w:tabs>
        <w:rPr/>
      </w:pPr>
      <w:r>
        <w:rPr/>
        <w:t>E-mail:</w:t>
        <w:tab/>
        <w:tab/>
        <w:t>rporter3@enron.com</w:t>
      </w:r>
    </w:p>
    <w:p>
      <w:pPr>
        <w:pStyle w:val="Normal"/>
        <w:tabs>
          <w:tab w:val="clear" w:pos="720"/>
          <w:tab w:val="left" w:pos="540" w:leader="none"/>
        </w:tabs>
        <w:rPr/>
      </w:pPr>
      <w:r>
        <w:rPr/>
      </w:r>
    </w:p>
    <w:p>
      <w:pPr>
        <w:pStyle w:val="Normal"/>
        <w:tabs>
          <w:tab w:val="clear" w:pos="720"/>
          <w:tab w:val="left" w:pos="540" w:leader="none"/>
        </w:tabs>
        <w:rPr/>
      </w:pPr>
      <w:r>
        <w:rPr/>
        <w:t>Contact:</w:t>
        <w:tab/>
        <w:tab/>
        <w:t>Webb Jennings</w:t>
      </w:r>
    </w:p>
    <w:p>
      <w:pPr>
        <w:pStyle w:val="Normal"/>
        <w:tabs>
          <w:tab w:val="clear" w:pos="720"/>
          <w:tab w:val="left" w:pos="540" w:leader="none"/>
        </w:tabs>
        <w:rPr/>
      </w:pPr>
      <w:r>
        <w:rPr/>
        <w:t>Title:</w:t>
        <w:tab/>
        <w:tab/>
        <w:t>Associate</w:t>
      </w:r>
    </w:p>
    <w:p>
      <w:pPr>
        <w:pStyle w:val="Normal"/>
        <w:tabs>
          <w:tab w:val="clear" w:pos="720"/>
          <w:tab w:val="left" w:pos="540" w:leader="none"/>
        </w:tabs>
        <w:rPr/>
      </w:pPr>
      <w:r>
        <w:rPr/>
        <w:t>Phone:</w:t>
        <w:tab/>
        <w:tab/>
        <w:t>713-853-1944</w:t>
      </w:r>
    </w:p>
    <w:p>
      <w:pPr>
        <w:pStyle w:val="Normal"/>
        <w:tabs>
          <w:tab w:val="clear" w:pos="720"/>
          <w:tab w:val="left" w:pos="540" w:leader="none"/>
        </w:tabs>
        <w:rPr/>
      </w:pPr>
      <w:r>
        <w:rPr/>
        <w:t>Fax:</w:t>
        <w:tab/>
        <w:tab/>
        <w:t>713-646-4940</w:t>
      </w:r>
    </w:p>
    <w:p>
      <w:pPr>
        <w:pStyle w:val="Normal"/>
        <w:tabs>
          <w:tab w:val="clear" w:pos="720"/>
          <w:tab w:val="left" w:pos="540" w:leader="none"/>
        </w:tabs>
        <w:rPr/>
      </w:pPr>
      <w:r>
        <w:rPr/>
        <w:t>E-mail:</w:t>
        <w:tab/>
        <w:tab/>
        <w:t>webb.jennings@enron.com</w:t>
      </w:r>
    </w:p>
    <w:p>
      <w:pPr>
        <w:pStyle w:val="Normal"/>
        <w:tabs>
          <w:tab w:val="clear" w:pos="720"/>
          <w:tab w:val="left" w:pos="540" w:leader="none"/>
        </w:tabs>
        <w:rPr/>
      </w:pPr>
      <w:r>
        <w:rPr/>
      </w:r>
    </w:p>
    <w:p>
      <w:pPr>
        <w:pStyle w:val="Normal"/>
        <w:tabs>
          <w:tab w:val="clear" w:pos="720"/>
          <w:tab w:val="left" w:pos="540" w:leader="none"/>
        </w:tabs>
        <w:rPr/>
      </w:pPr>
      <w:r>
        <w:rPr/>
      </w:r>
      <w:r>
        <w:br w:type="page"/>
      </w:r>
    </w:p>
    <w:p>
      <w:pPr>
        <w:pStyle w:val="Heading1"/>
        <w:rPr/>
      </w:pPr>
      <w:bookmarkStart w:id="2" w:name="__RefHeading___Toc480103410"/>
      <w:bookmarkEnd w:id="2"/>
      <w:r>
        <w:rPr/>
        <w:t>Enron’s Proposal</w:t>
      </w:r>
    </w:p>
    <w:p>
      <w:pPr>
        <w:pStyle w:val="Heading2"/>
        <w:rPr/>
      </w:pPr>
      <w:bookmarkStart w:id="3" w:name="__RefHeading___Toc480103411"/>
      <w:bookmarkEnd w:id="3"/>
      <w:r>
        <w:rPr/>
        <w:t>Overview</w:t>
      </w:r>
    </w:p>
    <w:p>
      <w:pPr>
        <w:pStyle w:val="BodyTextIndent"/>
        <w:rPr/>
      </w:pPr>
      <w:r>
        <w:rPr/>
        <w:t>Enron and DPC will develop a power generating facility (the Plant) to serve the needs of both companies. The Plant will be based on gas-fired LM6000 combustion turbines installed in simple-cycle configuration. The Plant will be interconnected to DPC’s transmission system.</w:t>
      </w:r>
      <w:r>
        <w:rPr>
          <w:rStyle w:val="FootnoteCharacters"/>
          <w:rStyle w:val="FootnoteReference"/>
        </w:rPr>
        <w:footnoteReference w:id="2"/>
      </w:r>
      <w:r>
        <w:rPr/>
        <w:t xml:space="preserve"> Construction will begin in September 2000 with commercial operations beginning in May 2001. The Plant will be equipped with inlet air chilling and enhanced SPRINT water injection for improved output and efficiency. The turbines will be provided from manufacturing capacity reserved by Enron.</w:t>
      </w:r>
    </w:p>
    <w:p>
      <w:pPr>
        <w:pStyle w:val="BodyTextIndent"/>
        <w:rPr/>
      </w:pPr>
      <w:r>
        <w:rPr/>
      </w:r>
    </w:p>
    <w:p>
      <w:pPr>
        <w:pStyle w:val="BodyTextIndent"/>
        <w:rPr/>
      </w:pPr>
      <w:r>
        <w:rPr/>
        <w:t>The Plant will provide DPC with the security of being able to meet its peak day energy requirements. DPC will own, operate and finance the Plant. Enron will provide turnkey installation of the Plant.</w:t>
      </w:r>
      <w:r>
        <w:rPr>
          <w:rStyle w:val="FootnoteCharacters"/>
          <w:rStyle w:val="FootnoteReference"/>
        </w:rPr>
        <w:footnoteReference w:id="3"/>
      </w:r>
      <w:r>
        <w:rPr/>
        <w:t xml:space="preserve"> In addition, Enron will purchase capacity from DPC from May 1, 2001 through December 31, 2002, allowing DPC to grow into the full capacity of the Plant.</w:t>
      </w:r>
    </w:p>
    <w:p>
      <w:pPr>
        <w:pStyle w:val="BodyTextIndent"/>
        <w:rPr/>
      </w:pPr>
      <w:r>
        <w:rPr/>
      </w:r>
    </w:p>
    <w:p>
      <w:pPr>
        <w:pStyle w:val="Heading2"/>
        <w:rPr/>
      </w:pPr>
      <w:bookmarkStart w:id="4" w:name="__RefHeading___Toc480103412"/>
      <w:bookmarkEnd w:id="4"/>
      <w:r>
        <w:rPr/>
        <w:t>Economics</w:t>
      </w:r>
    </w:p>
    <w:p>
      <w:pPr>
        <w:pStyle w:val="Normal"/>
        <w:rPr/>
      </w:pPr>
      <w:r>
        <w:rPr/>
        <w:t>Enron will provide DPC with fixed economics, including the turnkey installation price and the value of capacity being purchased from Enron (Project Cost). The table below shows the capacity split between Enron’s capacity purchase and capacity remaining for DPC.</w:t>
      </w:r>
    </w:p>
    <w:p>
      <w:pPr>
        <w:pStyle w:val="Normal"/>
        <w:rPr/>
      </w:pPr>
      <w:r>
        <w:rPr/>
      </w:r>
    </w:p>
    <w:tbl>
      <w:tblPr>
        <w:tblW w:w="8060" w:type="dxa"/>
        <w:jc w:val="start"/>
        <w:tblInd w:w="628" w:type="dxa"/>
        <w:tblLayout w:type="fixed"/>
        <w:tblCellMar>
          <w:top w:w="0" w:type="dxa"/>
          <w:start w:w="108" w:type="dxa"/>
          <w:bottom w:w="0" w:type="dxa"/>
          <w:end w:w="108" w:type="dxa"/>
        </w:tblCellMar>
      </w:tblPr>
      <w:tblGrid>
        <w:gridCol w:w="1550"/>
        <w:gridCol w:w="2250"/>
        <w:gridCol w:w="1080"/>
        <w:gridCol w:w="1170"/>
        <w:gridCol w:w="2010"/>
      </w:tblGrid>
      <w:tr>
        <w:trPr>
          <w:trHeight w:val="50" w:hRule="atLeast"/>
        </w:trPr>
        <w:tc>
          <w:tcPr>
            <w:tcW w:w="1550" w:type="dxa"/>
            <w:tcBorders>
              <w:top w:val="single" w:sz="12" w:space="0" w:color="000000"/>
              <w:start w:val="single" w:sz="12" w:space="0" w:color="000000"/>
              <w:bottom w:val="single" w:sz="12" w:space="0" w:color="000000"/>
              <w:end w:val="single" w:sz="12" w:space="0" w:color="000000"/>
            </w:tcBorders>
            <w:shd w:fill="800000" w:val="clear"/>
            <w:vAlign w:val="center"/>
          </w:tcPr>
          <w:p>
            <w:pPr>
              <w:pStyle w:val="Normal"/>
              <w:ind w:start="0" w:end="0"/>
              <w:jc w:val="center"/>
              <w:rPr>
                <w:b/>
                <w:color w:val="FFFFFF"/>
              </w:rPr>
            </w:pPr>
            <w:r>
              <w:rPr>
                <w:b/>
                <w:color w:val="FFFFFF"/>
              </w:rPr>
              <w:t>Start</w:t>
            </w:r>
          </w:p>
        </w:tc>
        <w:tc>
          <w:tcPr>
            <w:tcW w:w="2250" w:type="dxa"/>
            <w:tcBorders>
              <w:top w:val="single" w:sz="12" w:space="0" w:color="000000"/>
              <w:start w:val="single" w:sz="12" w:space="0" w:color="000000"/>
              <w:bottom w:val="single" w:sz="12" w:space="0" w:color="000000"/>
              <w:end w:val="single" w:sz="12" w:space="0" w:color="000000"/>
            </w:tcBorders>
            <w:shd w:fill="800000" w:val="clear"/>
            <w:vAlign w:val="center"/>
          </w:tcPr>
          <w:p>
            <w:pPr>
              <w:pStyle w:val="Normal"/>
              <w:ind w:start="0" w:end="0"/>
              <w:jc w:val="center"/>
              <w:rPr>
                <w:b/>
                <w:color w:val="FFFFFF"/>
              </w:rPr>
            </w:pPr>
            <w:r>
              <w:rPr>
                <w:b/>
                <w:color w:val="FFFFFF"/>
              </w:rPr>
              <w:t>End</w:t>
            </w:r>
          </w:p>
        </w:tc>
        <w:tc>
          <w:tcPr>
            <w:tcW w:w="1080" w:type="dxa"/>
            <w:tcBorders>
              <w:top w:val="single" w:sz="12" w:space="0" w:color="000000"/>
              <w:start w:val="single" w:sz="12" w:space="0" w:color="000000"/>
              <w:bottom w:val="single" w:sz="12" w:space="0" w:color="000000"/>
              <w:end w:val="single" w:sz="12" w:space="0" w:color="000000"/>
            </w:tcBorders>
            <w:shd w:fill="800000" w:val="clear"/>
            <w:vAlign w:val="center"/>
          </w:tcPr>
          <w:p>
            <w:pPr>
              <w:pStyle w:val="Normal"/>
              <w:ind w:start="0" w:end="0"/>
              <w:jc w:val="center"/>
              <w:rPr>
                <w:b/>
                <w:color w:val="FFFFFF"/>
              </w:rPr>
            </w:pPr>
            <w:r>
              <w:rPr>
                <w:b/>
                <w:color w:val="FFFFFF"/>
              </w:rPr>
              <w:t>Plant</w:t>
            </w:r>
          </w:p>
        </w:tc>
        <w:tc>
          <w:tcPr>
            <w:tcW w:w="1170" w:type="dxa"/>
            <w:tcBorders>
              <w:top w:val="single" w:sz="12" w:space="0" w:color="000000"/>
              <w:start w:val="single" w:sz="12" w:space="0" w:color="000000"/>
              <w:bottom w:val="single" w:sz="12" w:space="0" w:color="000000"/>
              <w:end w:val="single" w:sz="12" w:space="0" w:color="000000"/>
            </w:tcBorders>
            <w:shd w:fill="800000" w:val="clear"/>
            <w:vAlign w:val="center"/>
          </w:tcPr>
          <w:p>
            <w:pPr>
              <w:pStyle w:val="Normal"/>
              <w:ind w:start="0" w:end="0"/>
              <w:jc w:val="center"/>
              <w:rPr>
                <w:b/>
                <w:color w:val="FFFFFF"/>
              </w:rPr>
            </w:pPr>
            <w:r>
              <w:rPr>
                <w:b/>
                <w:color w:val="FFFFFF"/>
              </w:rPr>
              <w:t>Enron</w:t>
            </w:r>
          </w:p>
        </w:tc>
        <w:tc>
          <w:tcPr>
            <w:tcW w:w="2010" w:type="dxa"/>
            <w:tcBorders>
              <w:top w:val="single" w:sz="12" w:space="0" w:color="000000"/>
              <w:start w:val="single" w:sz="12" w:space="0" w:color="000000"/>
              <w:bottom w:val="single" w:sz="12" w:space="0" w:color="000000"/>
              <w:end w:val="single" w:sz="12" w:space="0" w:color="000000"/>
            </w:tcBorders>
            <w:shd w:fill="800000" w:val="clear"/>
            <w:vAlign w:val="center"/>
          </w:tcPr>
          <w:p>
            <w:pPr>
              <w:pStyle w:val="Normal"/>
              <w:ind w:start="0" w:end="0"/>
              <w:jc w:val="center"/>
              <w:rPr>
                <w:b/>
                <w:color w:val="FFFFFF"/>
              </w:rPr>
            </w:pPr>
            <w:r>
              <w:rPr>
                <w:b/>
                <w:color w:val="FFFFFF"/>
              </w:rPr>
              <w:t>DPC</w:t>
            </w:r>
            <w:r>
              <w:rPr>
                <w:rStyle w:val="FootnoteCharacters"/>
                <w:rStyle w:val="FootnoteReference"/>
                <w:b/>
                <w:color w:val="FFFFFF"/>
              </w:rPr>
              <w:footnoteReference w:id="4"/>
            </w:r>
          </w:p>
        </w:tc>
      </w:tr>
      <w:tr>
        <w:trPr>
          <w:trHeight w:val="46" w:hRule="atLeast"/>
        </w:trPr>
        <w:tc>
          <w:tcPr>
            <w:tcW w:w="1550" w:type="dxa"/>
            <w:tcBorders>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May 1, 2001</w:t>
            </w:r>
          </w:p>
        </w:tc>
        <w:tc>
          <w:tcPr>
            <w:tcW w:w="2250" w:type="dxa"/>
            <w:tcBorders>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April 30, 2002</w:t>
            </w:r>
          </w:p>
        </w:tc>
        <w:tc>
          <w:tcPr>
            <w:tcW w:w="1080" w:type="dxa"/>
            <w:tcBorders>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90 MW</w:t>
            </w:r>
          </w:p>
        </w:tc>
        <w:tc>
          <w:tcPr>
            <w:tcW w:w="1170" w:type="dxa"/>
            <w:tcBorders>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90 MW</w:t>
            </w:r>
          </w:p>
        </w:tc>
        <w:tc>
          <w:tcPr>
            <w:tcW w:w="2010" w:type="dxa"/>
            <w:tcBorders>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0 MW</w:t>
            </w:r>
          </w:p>
        </w:tc>
      </w:tr>
      <w:tr>
        <w:trPr>
          <w:trHeight w:val="46" w:hRule="atLeast"/>
        </w:trPr>
        <w:tc>
          <w:tcPr>
            <w:tcW w:w="155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May 1, 2002</w:t>
            </w:r>
          </w:p>
        </w:tc>
        <w:tc>
          <w:tcPr>
            <w:tcW w:w="225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December 31, 2002</w:t>
            </w:r>
          </w:p>
        </w:tc>
        <w:tc>
          <w:tcPr>
            <w:tcW w:w="108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90 MW</w:t>
            </w:r>
          </w:p>
        </w:tc>
        <w:tc>
          <w:tcPr>
            <w:tcW w:w="117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90 MW</w:t>
            </w:r>
          </w:p>
        </w:tc>
        <w:tc>
          <w:tcPr>
            <w:tcW w:w="201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0 MW</w:t>
            </w:r>
          </w:p>
        </w:tc>
      </w:tr>
      <w:tr>
        <w:trPr>
          <w:trHeight w:val="46" w:hRule="atLeast"/>
        </w:trPr>
        <w:tc>
          <w:tcPr>
            <w:tcW w:w="3800" w:type="dxa"/>
            <w:gridSpan w:val="2"/>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After December 31, 2002</w:t>
            </w:r>
          </w:p>
        </w:tc>
        <w:tc>
          <w:tcPr>
            <w:tcW w:w="108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90 MW</w:t>
            </w:r>
          </w:p>
        </w:tc>
        <w:tc>
          <w:tcPr>
            <w:tcW w:w="117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0 MW</w:t>
            </w:r>
          </w:p>
        </w:tc>
        <w:tc>
          <w:tcPr>
            <w:tcW w:w="2010" w:type="dxa"/>
            <w:tcBorders>
              <w:top w:val="single" w:sz="6" w:space="0" w:color="000000"/>
              <w:start w:val="single" w:sz="6" w:space="0" w:color="000000"/>
              <w:bottom w:val="single" w:sz="6" w:space="0" w:color="000000"/>
              <w:end w:val="single" w:sz="6" w:space="0" w:color="000000"/>
            </w:tcBorders>
            <w:shd w:fill="FFFFCC" w:val="clear"/>
            <w:vAlign w:val="center"/>
          </w:tcPr>
          <w:p>
            <w:pPr>
              <w:pStyle w:val="Normal"/>
              <w:ind w:start="0" w:end="0"/>
              <w:jc w:val="center"/>
              <w:rPr>
                <w:sz w:val="22"/>
              </w:rPr>
            </w:pPr>
            <w:r>
              <w:rPr>
                <w:sz w:val="22"/>
              </w:rPr>
              <w:t>90 MW</w:t>
            </w:r>
          </w:p>
        </w:tc>
      </w:tr>
    </w:tbl>
    <w:p>
      <w:pPr>
        <w:pStyle w:val="Normal"/>
        <w:rPr/>
      </w:pPr>
      <w:r>
        <w:rPr/>
      </w:r>
    </w:p>
    <w:p>
      <w:pPr>
        <w:pStyle w:val="Normal"/>
        <w:rPr/>
      </w:pPr>
      <w:r>
        <w:rPr/>
        <w:t>Project Cost is $544/kW</w:t>
      </w:r>
      <w:r>
        <w:rPr>
          <w:rStyle w:val="FootnoteCharacters"/>
          <w:rStyle w:val="FootnoteReference"/>
        </w:rPr>
        <w:footnoteReference w:id="5"/>
      </w:r>
      <w:r>
        <w:rPr/>
        <w:t>. The following assumptions were included in computing Project Costs.</w:t>
      </w:r>
    </w:p>
    <w:p>
      <w:pPr>
        <w:pStyle w:val="Normal"/>
        <w:rPr/>
      </w:pPr>
      <w:r>
        <w:rPr/>
      </w:r>
    </w:p>
    <w:p>
      <w:pPr>
        <w:pStyle w:val="Normal"/>
        <w:numPr>
          <w:ilvl w:val="0"/>
          <w:numId w:val="3"/>
        </w:numPr>
        <w:tabs>
          <w:tab w:val="clear" w:pos="720"/>
          <w:tab w:val="left" w:pos="1800" w:leader="none"/>
          <w:tab w:val="left" w:pos="2160" w:leader="none"/>
        </w:tabs>
        <w:ind w:hanging="360" w:start="1800" w:end="0"/>
        <w:rPr/>
      </w:pPr>
      <w:r>
        <w:rPr/>
        <w:t>Enron will provide construction financing and bear interest during construction prior to May 1, 2001.</w:t>
      </w:r>
    </w:p>
    <w:p>
      <w:pPr>
        <w:pStyle w:val="Normal"/>
        <w:numPr>
          <w:ilvl w:val="0"/>
          <w:numId w:val="3"/>
        </w:numPr>
        <w:tabs>
          <w:tab w:val="clear" w:pos="720"/>
          <w:tab w:val="left" w:pos="1800" w:leader="none"/>
          <w:tab w:val="left" w:pos="2160" w:leader="none"/>
        </w:tabs>
        <w:ind w:hanging="360" w:start="1800" w:end="0"/>
        <w:rPr/>
      </w:pPr>
      <w:r>
        <w:rPr/>
        <w:t>DPC will own, operate, and finance the Plant. Estimated fixed and variable O&amp;M are $0.96/kW-month and $0.812/MWh.</w:t>
      </w:r>
    </w:p>
    <w:p>
      <w:pPr>
        <w:pStyle w:val="Normal"/>
        <w:tabs>
          <w:tab w:val="clear" w:pos="720"/>
          <w:tab w:val="left" w:pos="2160" w:leader="none"/>
        </w:tabs>
        <w:ind w:start="0" w:end="0"/>
        <w:rPr/>
      </w:pPr>
      <w:r>
        <w:rPr/>
      </w:r>
    </w:p>
    <w:p>
      <w:pPr>
        <w:pStyle w:val="Heading2"/>
        <w:rPr/>
      </w:pPr>
      <w:bookmarkStart w:id="5" w:name="__RefHeading___Toc480103413"/>
      <w:bookmarkEnd w:id="5"/>
      <w:r>
        <w:rPr/>
        <w:t>Financing</w:t>
      </w:r>
    </w:p>
    <w:p>
      <w:pPr>
        <w:pStyle w:val="BodyTextIndent"/>
        <w:rPr/>
      </w:pPr>
      <w:r>
        <w:rPr/>
        <w:t>DPC will finance the Plant. Enron will provide financing during construction. Enron is interested in developing alternative structures to provide a more efficient structure for DPC.</w:t>
      </w:r>
    </w:p>
    <w:p>
      <w:pPr>
        <w:pStyle w:val="BodyTextIndent"/>
        <w:rPr/>
      </w:pPr>
      <w:r>
        <w:rPr/>
      </w:r>
    </w:p>
    <w:p>
      <w:pPr>
        <w:pStyle w:val="BodyTextIndent"/>
        <w:rPr/>
      </w:pPr>
      <w:r>
        <w:rPr/>
        <w:t>For example, the lump sum pricing could be modified into a draw schedule. This alternative may mitigate interest during construction. DPC would pay the Project Cost in a draw schedule consistent with construction expenditures.</w:t>
      </w:r>
    </w:p>
    <w:p>
      <w:pPr>
        <w:pStyle w:val="BodyTextIndent"/>
        <w:rPr/>
      </w:pPr>
      <w:r>
        <w:rPr/>
      </w:r>
    </w:p>
    <w:p>
      <w:pPr>
        <w:pStyle w:val="Heading2"/>
        <w:rPr/>
      </w:pPr>
      <w:bookmarkStart w:id="6" w:name="__RefHeading___Toc480103414"/>
      <w:bookmarkEnd w:id="6"/>
      <w:r>
        <w:rPr/>
        <w:t>Permitting</w:t>
      </w:r>
    </w:p>
    <w:p>
      <w:pPr>
        <w:pStyle w:val="Normal"/>
        <w:tabs>
          <w:tab w:val="clear" w:pos="720"/>
          <w:tab w:val="left" w:pos="540" w:leader="none"/>
        </w:tabs>
        <w:rPr/>
      </w:pPr>
      <w:r>
        <w:rPr/>
        <w:t>DPC and Enron will arrange for all environmental and regulatory approvals, including any FERC, EPA, and the Wisconsin DEP requirements. The Clean Air Act will have the greatest impact on the Plant’s permitting process.  The table below describes the principal regulations that will affect the development of the Plant.</w:t>
      </w:r>
    </w:p>
    <w:p>
      <w:pPr>
        <w:pStyle w:val="Normal"/>
        <w:tabs>
          <w:tab w:val="clear" w:pos="720"/>
          <w:tab w:val="left" w:pos="540" w:leader="none"/>
        </w:tabs>
        <w:rPr/>
      </w:pPr>
      <w:r>
        <w:rPr/>
      </w:r>
    </w:p>
    <w:tbl>
      <w:tblPr>
        <w:tblW w:w="8010" w:type="dxa"/>
        <w:jc w:val="start"/>
        <w:tblInd w:w="648" w:type="dxa"/>
        <w:tblLayout w:type="fixed"/>
        <w:tblCellMar>
          <w:top w:w="0" w:type="dxa"/>
          <w:start w:w="108" w:type="dxa"/>
          <w:bottom w:w="0" w:type="dxa"/>
          <w:end w:w="108" w:type="dxa"/>
        </w:tblCellMar>
      </w:tblPr>
      <w:tblGrid>
        <w:gridCol w:w="1530"/>
        <w:gridCol w:w="6480"/>
      </w:tblGrid>
      <w:tr>
        <w:trPr/>
        <w:tc>
          <w:tcPr>
            <w:tcW w:w="8010" w:type="dxa"/>
            <w:gridSpan w:val="2"/>
            <w:tcBorders>
              <w:top w:val="single" w:sz="4" w:space="0" w:color="000000"/>
              <w:start w:val="single" w:sz="4" w:space="0" w:color="000000"/>
              <w:bottom w:val="single" w:sz="12" w:space="0" w:color="000000"/>
              <w:end w:val="single" w:sz="4" w:space="0" w:color="000000"/>
            </w:tcBorders>
            <w:shd w:fill="800000" w:val="clear"/>
          </w:tcPr>
          <w:p>
            <w:pPr>
              <w:pStyle w:val="Normal"/>
              <w:tabs>
                <w:tab w:val="clear" w:pos="720"/>
                <w:tab w:val="left" w:pos="540" w:leader="none"/>
              </w:tabs>
              <w:jc w:val="center"/>
              <w:rPr>
                <w:b/>
                <w:color w:val="FFFFFF"/>
              </w:rPr>
            </w:pPr>
            <w:r>
              <w:rPr>
                <w:b/>
                <w:color w:val="FFFFFF"/>
              </w:rPr>
              <w:t>Regulatory and Environmental Approvals</w:t>
            </w:r>
          </w:p>
        </w:tc>
      </w:tr>
      <w:tr>
        <w:trPr>
          <w:trHeight w:val="762" w:hRule="atLeast"/>
        </w:trPr>
        <w:tc>
          <w:tcPr>
            <w:tcW w:w="1530" w:type="dxa"/>
            <w:tcBorders>
              <w:start w:val="single" w:sz="4" w:space="0" w:color="000000"/>
            </w:tcBorders>
            <w:shd w:fill="FFFFCC" w:val="clear"/>
            <w:vAlign w:val="center"/>
          </w:tcPr>
          <w:p>
            <w:pPr>
              <w:pStyle w:val="Normal"/>
              <w:tabs>
                <w:tab w:val="clear" w:pos="720"/>
                <w:tab w:val="left" w:pos="540" w:leader="none"/>
              </w:tabs>
              <w:rPr>
                <w:b/>
              </w:rPr>
            </w:pPr>
            <w:r>
              <w:rPr>
                <w:b/>
              </w:rPr>
              <w:t>FERC</w:t>
            </w:r>
          </w:p>
        </w:tc>
        <w:tc>
          <w:tcPr>
            <w:tcW w:w="6480" w:type="dxa"/>
            <w:tcBorders>
              <w:end w:val="single" w:sz="4" w:space="0" w:color="000000"/>
            </w:tcBorders>
            <w:shd w:fill="FFFFCC" w:val="clear"/>
            <w:vAlign w:val="center"/>
          </w:tcPr>
          <w:p>
            <w:pPr>
              <w:pStyle w:val="Normal"/>
              <w:tabs>
                <w:tab w:val="clear" w:pos="720"/>
                <w:tab w:val="left" w:pos="540" w:leader="none"/>
              </w:tabs>
              <w:rPr/>
            </w:pPr>
            <w:r>
              <w:rPr/>
              <w:t>Dependent on DPC’s requirements.</w:t>
            </w:r>
          </w:p>
        </w:tc>
      </w:tr>
      <w:tr>
        <w:trPr>
          <w:trHeight w:val="701" w:hRule="atLeast"/>
        </w:trPr>
        <w:tc>
          <w:tcPr>
            <w:tcW w:w="1530" w:type="dxa"/>
            <w:tcBorders>
              <w:top w:val="single" w:sz="4" w:space="0" w:color="000000"/>
              <w:start w:val="single" w:sz="4" w:space="0" w:color="000000"/>
            </w:tcBorders>
            <w:shd w:fill="FFFFCC" w:val="clear"/>
            <w:vAlign w:val="center"/>
          </w:tcPr>
          <w:p>
            <w:pPr>
              <w:pStyle w:val="Normal"/>
              <w:tabs>
                <w:tab w:val="clear" w:pos="720"/>
                <w:tab w:val="left" w:pos="540" w:leader="none"/>
              </w:tabs>
              <w:rPr>
                <w:b/>
              </w:rPr>
            </w:pPr>
            <w:r>
              <w:rPr>
                <w:b/>
              </w:rPr>
              <w:t>PSC</w:t>
            </w:r>
          </w:p>
        </w:tc>
        <w:tc>
          <w:tcPr>
            <w:tcW w:w="6480" w:type="dxa"/>
            <w:tcBorders>
              <w:top w:val="single" w:sz="4" w:space="0" w:color="000000"/>
              <w:end w:val="single" w:sz="4" w:space="0" w:color="000000"/>
            </w:tcBorders>
            <w:shd w:fill="FFFFCC" w:val="clear"/>
            <w:vAlign w:val="center"/>
          </w:tcPr>
          <w:p>
            <w:pPr>
              <w:pStyle w:val="Normal"/>
              <w:tabs>
                <w:tab w:val="clear" w:pos="720"/>
                <w:tab w:val="left" w:pos="540" w:leader="none"/>
              </w:tabs>
              <w:rPr/>
            </w:pPr>
            <w:r>
              <w:rPr/>
              <w:t>Dependent on DPC’s requirements.</w:t>
            </w:r>
          </w:p>
        </w:tc>
      </w:tr>
      <w:tr>
        <w:trPr>
          <w:trHeight w:val="719" w:hRule="atLeast"/>
        </w:trPr>
        <w:tc>
          <w:tcPr>
            <w:tcW w:w="1530" w:type="dxa"/>
            <w:tcBorders>
              <w:top w:val="single" w:sz="4" w:space="0" w:color="000000"/>
              <w:start w:val="single" w:sz="4" w:space="0" w:color="000000"/>
            </w:tcBorders>
            <w:shd w:fill="FFFFCC" w:val="clear"/>
            <w:vAlign w:val="center"/>
          </w:tcPr>
          <w:p>
            <w:pPr>
              <w:pStyle w:val="Normal"/>
              <w:tabs>
                <w:tab w:val="clear" w:pos="720"/>
                <w:tab w:val="left" w:pos="540" w:leader="none"/>
              </w:tabs>
              <w:rPr>
                <w:b/>
              </w:rPr>
            </w:pPr>
            <w:r>
              <w:rPr>
                <w:b/>
              </w:rPr>
              <w:t>DEP</w:t>
            </w:r>
          </w:p>
        </w:tc>
        <w:tc>
          <w:tcPr>
            <w:tcW w:w="6480" w:type="dxa"/>
            <w:tcBorders>
              <w:top w:val="single" w:sz="4" w:space="0" w:color="000000"/>
              <w:end w:val="single" w:sz="4" w:space="0" w:color="000000"/>
            </w:tcBorders>
            <w:shd w:fill="FFFFCC" w:val="clear"/>
            <w:vAlign w:val="center"/>
          </w:tcPr>
          <w:p>
            <w:pPr>
              <w:pStyle w:val="Normal"/>
              <w:tabs>
                <w:tab w:val="clear" w:pos="720"/>
                <w:tab w:val="left" w:pos="540" w:leader="none"/>
              </w:tabs>
              <w:rPr/>
            </w:pPr>
            <w:r>
              <w:rPr/>
              <w:t>An air permit will be obtained from the Wisconsin DEP.</w:t>
            </w:r>
          </w:p>
        </w:tc>
      </w:tr>
      <w:tr>
        <w:trPr>
          <w:trHeight w:val="971" w:hRule="atLeast"/>
        </w:trPr>
        <w:tc>
          <w:tcPr>
            <w:tcW w:w="1530" w:type="dxa"/>
            <w:tcBorders>
              <w:top w:val="single" w:sz="4" w:space="0" w:color="000000"/>
              <w:start w:val="single" w:sz="4" w:space="0" w:color="000000"/>
              <w:bottom w:val="single" w:sz="4" w:space="0" w:color="000000"/>
            </w:tcBorders>
            <w:shd w:fill="FFFFCC" w:val="clear"/>
            <w:vAlign w:val="center"/>
          </w:tcPr>
          <w:p>
            <w:pPr>
              <w:pStyle w:val="Normal"/>
              <w:tabs>
                <w:tab w:val="clear" w:pos="720"/>
                <w:tab w:val="left" w:pos="540" w:leader="none"/>
              </w:tabs>
              <w:rPr>
                <w:b/>
              </w:rPr>
            </w:pPr>
            <w:r>
              <w:rPr>
                <w:b/>
              </w:rPr>
              <w:t>Land</w:t>
            </w:r>
          </w:p>
        </w:tc>
        <w:tc>
          <w:tcPr>
            <w:tcW w:w="6480" w:type="dxa"/>
            <w:tcBorders>
              <w:top w:val="single" w:sz="4" w:space="0" w:color="000000"/>
              <w:bottom w:val="single" w:sz="4" w:space="0" w:color="000000"/>
              <w:end w:val="single" w:sz="4" w:space="0" w:color="000000"/>
            </w:tcBorders>
            <w:shd w:fill="FFFFCC" w:val="clear"/>
            <w:vAlign w:val="center"/>
          </w:tcPr>
          <w:p>
            <w:pPr>
              <w:pStyle w:val="Normal"/>
              <w:tabs>
                <w:tab w:val="clear" w:pos="720"/>
                <w:tab w:val="left" w:pos="540" w:leader="none"/>
              </w:tabs>
              <w:rPr/>
            </w:pPr>
            <w:r>
              <w:rPr/>
              <w:t>Environmental surveys will be completed, including an analysis of cultural and archeological resources, endangered species and wetlands.</w:t>
            </w:r>
          </w:p>
        </w:tc>
      </w:tr>
      <w:tr>
        <w:trPr>
          <w:trHeight w:val="890" w:hRule="atLeast"/>
        </w:trPr>
        <w:tc>
          <w:tcPr>
            <w:tcW w:w="1530" w:type="dxa"/>
            <w:tcBorders>
              <w:start w:val="single" w:sz="4" w:space="0" w:color="000000"/>
              <w:bottom w:val="single" w:sz="4" w:space="0" w:color="000000"/>
            </w:tcBorders>
            <w:shd w:fill="FFFFCC" w:val="clear"/>
            <w:vAlign w:val="center"/>
          </w:tcPr>
          <w:p>
            <w:pPr>
              <w:pStyle w:val="Normal"/>
              <w:tabs>
                <w:tab w:val="clear" w:pos="720"/>
                <w:tab w:val="left" w:pos="540" w:leader="none"/>
              </w:tabs>
              <w:rPr>
                <w:b/>
              </w:rPr>
            </w:pPr>
            <w:r>
              <w:rPr>
                <w:b/>
              </w:rPr>
              <w:t>Water</w:t>
            </w:r>
          </w:p>
        </w:tc>
        <w:tc>
          <w:tcPr>
            <w:tcW w:w="6480" w:type="dxa"/>
            <w:tcBorders>
              <w:bottom w:val="single" w:sz="4" w:space="0" w:color="000000"/>
              <w:end w:val="single" w:sz="4" w:space="0" w:color="000000"/>
            </w:tcBorders>
            <w:shd w:fill="FFFFCC" w:val="clear"/>
            <w:vAlign w:val="center"/>
          </w:tcPr>
          <w:p>
            <w:pPr>
              <w:pStyle w:val="Normal"/>
              <w:tabs>
                <w:tab w:val="clear" w:pos="720"/>
                <w:tab w:val="left" w:pos="540" w:leader="none"/>
              </w:tabs>
              <w:rPr/>
            </w:pPr>
            <w:r>
              <w:rPr/>
              <w:t xml:space="preserve">Permits will be secured to obtain water supply, waste water discharge and construction storm water discharge.  </w:t>
            </w:r>
          </w:p>
        </w:tc>
      </w:tr>
    </w:tbl>
    <w:p>
      <w:pPr>
        <w:pStyle w:val="Normal"/>
        <w:rPr/>
      </w:pPr>
      <w:r>
        <w:rPr/>
      </w:r>
      <w:r>
        <w:br w:type="page"/>
      </w:r>
    </w:p>
    <w:p>
      <w:pPr>
        <w:pStyle w:val="Heading1"/>
        <w:rPr/>
      </w:pPr>
      <w:bookmarkStart w:id="7" w:name="__RefHeading___Toc480103415"/>
      <w:bookmarkEnd w:id="7"/>
      <w:r>
        <w:rPr/>
        <w:t>Plant Description</w:t>
      </w:r>
    </w:p>
    <w:p>
      <w:pPr>
        <w:pStyle w:val="Heading2"/>
        <w:rPr/>
      </w:pPr>
      <w:bookmarkStart w:id="8" w:name="__RefHeading___Toc480103416"/>
      <w:bookmarkEnd w:id="8"/>
      <w:r>
        <w:rPr/>
        <w:t>Overview</w:t>
      </w:r>
    </w:p>
    <w:p>
      <w:pPr>
        <w:pStyle w:val="Normal"/>
        <w:rPr/>
      </w:pPr>
      <w:r>
        <w:rPr/>
        <w:t>The Plant will be based on two LM6000 combustion turbines. The LM6000 is a state-of-the-art generator with performance capabilities superior to alternative equipment.</w:t>
      </w:r>
    </w:p>
    <w:p>
      <w:pPr>
        <w:pStyle w:val="Normal"/>
        <w:rPr/>
      </w:pPr>
      <w:r>
        <w:rPr/>
      </w:r>
    </w:p>
    <w:p>
      <w:pPr>
        <w:pStyle w:val="Normal"/>
        <w:rPr/>
      </w:pPr>
      <w:r>
        <w:rPr/>
        <w:t>Benefits of LM6000’s include:</w:t>
      </w:r>
    </w:p>
    <w:p>
      <w:pPr>
        <w:pStyle w:val="Normal"/>
        <w:numPr>
          <w:ilvl w:val="0"/>
          <w:numId w:val="2"/>
        </w:numPr>
        <w:tabs>
          <w:tab w:val="clear" w:pos="720"/>
          <w:tab w:val="left" w:pos="1800" w:leader="none"/>
        </w:tabs>
        <w:ind w:hanging="360" w:start="1800" w:end="0"/>
        <w:rPr/>
      </w:pPr>
      <w:r>
        <w:rPr/>
        <w:t>Lowest simple-cycle heat rate of any combustion turbine available.</w:t>
      </w:r>
    </w:p>
    <w:p>
      <w:pPr>
        <w:pStyle w:val="Normal"/>
        <w:numPr>
          <w:ilvl w:val="0"/>
          <w:numId w:val="2"/>
        </w:numPr>
        <w:tabs>
          <w:tab w:val="clear" w:pos="720"/>
          <w:tab w:val="left" w:pos="1800" w:leader="none"/>
        </w:tabs>
        <w:ind w:hanging="360" w:start="1800" w:end="0"/>
        <w:rPr/>
      </w:pPr>
      <w:r>
        <w:rPr/>
        <w:t>Fast loading and load response (10 minutes from cold iron to full-load).</w:t>
      </w:r>
    </w:p>
    <w:p>
      <w:pPr>
        <w:pStyle w:val="Normal"/>
        <w:numPr>
          <w:ilvl w:val="0"/>
          <w:numId w:val="2"/>
        </w:numPr>
        <w:tabs>
          <w:tab w:val="clear" w:pos="720"/>
          <w:tab w:val="left" w:pos="1800" w:leader="none"/>
        </w:tabs>
        <w:ind w:hanging="360" w:start="1800" w:end="0"/>
        <w:rPr/>
      </w:pPr>
      <w:r>
        <w:rPr/>
        <w:t>High reliability (based on GE’s CF6-80C2 aircraft engine, 46+ million hours of operation).</w:t>
      </w:r>
    </w:p>
    <w:p>
      <w:pPr>
        <w:pStyle w:val="Normal"/>
        <w:numPr>
          <w:ilvl w:val="0"/>
          <w:numId w:val="2"/>
        </w:numPr>
        <w:tabs>
          <w:tab w:val="clear" w:pos="720"/>
          <w:tab w:val="left" w:pos="1800" w:leader="none"/>
        </w:tabs>
        <w:ind w:hanging="360" w:start="1800" w:end="0"/>
        <w:rPr/>
      </w:pPr>
      <w:r>
        <w:rPr/>
        <w:t>Factory packaging reduces construction cost and risk.</w:t>
      </w:r>
    </w:p>
    <w:p>
      <w:pPr>
        <w:pStyle w:val="Normal"/>
        <w:rPr/>
      </w:pPr>
      <w:r>
        <w:rPr/>
      </w:r>
    </w:p>
    <w:p>
      <w:pPr>
        <w:pStyle w:val="Heading2"/>
        <w:rPr/>
      </w:pPr>
      <w:bookmarkStart w:id="9" w:name="__RefHeading___Toc480103417"/>
      <w:r>
        <w:rPr/>
        <w:t>Performance</w:t>
      </w:r>
      <w:bookmarkEnd w:id="9"/>
      <w:r>
        <w:rPr/>
        <w:t xml:space="preserve"> </w:t>
      </w:r>
    </w:p>
    <w:tbl>
      <w:tblPr>
        <w:tblW w:w="6753" w:type="dxa"/>
        <w:jc w:val="center"/>
        <w:tblInd w:w="0" w:type="dxa"/>
        <w:tblLayout w:type="fixed"/>
        <w:tblCellMar>
          <w:top w:w="0" w:type="dxa"/>
          <w:start w:w="108" w:type="dxa"/>
          <w:bottom w:w="0" w:type="dxa"/>
          <w:end w:w="108" w:type="dxa"/>
        </w:tblCellMar>
      </w:tblPr>
      <w:tblGrid>
        <w:gridCol w:w="2790"/>
        <w:gridCol w:w="3963"/>
      </w:tblGrid>
      <w:tr>
        <w:trPr>
          <w:trHeight w:val="500" w:hRule="atLeast"/>
        </w:trPr>
        <w:tc>
          <w:tcPr>
            <w:tcW w:w="2790" w:type="dxa"/>
            <w:tcBorders>
              <w:top w:val="single" w:sz="4" w:space="0" w:color="000000"/>
              <w:start w:val="single" w:sz="4" w:space="0" w:color="000000"/>
              <w:bottom w:val="single" w:sz="4" w:space="0" w:color="000000"/>
            </w:tcBorders>
            <w:shd w:fill="FFFFCC" w:val="clear"/>
            <w:vAlign w:val="center"/>
          </w:tcPr>
          <w:p>
            <w:pPr>
              <w:pStyle w:val="Normal"/>
              <w:tabs>
                <w:tab w:val="clear" w:pos="720"/>
                <w:tab w:val="left" w:pos="540" w:leader="none"/>
              </w:tabs>
              <w:rPr>
                <w:b/>
              </w:rPr>
            </w:pPr>
            <w:r>
              <w:rPr>
                <w:b/>
              </w:rPr>
              <w:t>Output (approx.)</w:t>
            </w:r>
          </w:p>
        </w:tc>
        <w:tc>
          <w:tcPr>
            <w:tcW w:w="3963" w:type="dxa"/>
            <w:tcBorders>
              <w:top w:val="single" w:sz="4" w:space="0" w:color="000000"/>
              <w:bottom w:val="single" w:sz="4" w:space="0" w:color="000000"/>
              <w:end w:val="single" w:sz="4" w:space="0" w:color="000000"/>
            </w:tcBorders>
            <w:shd w:fill="FFFFCC" w:val="clear"/>
            <w:vAlign w:val="center"/>
          </w:tcPr>
          <w:p>
            <w:pPr>
              <w:pStyle w:val="BodyTextIndent"/>
              <w:tabs>
                <w:tab w:val="clear" w:pos="720"/>
                <w:tab w:val="left" w:pos="540" w:leader="none"/>
              </w:tabs>
              <w:rPr/>
            </w:pPr>
            <w:r>
              <w:rPr/>
              <w:t>90 MW (2 LM6000’s)</w:t>
            </w:r>
          </w:p>
        </w:tc>
      </w:tr>
      <w:tr>
        <w:trPr>
          <w:trHeight w:val="500" w:hRule="atLeast"/>
        </w:trPr>
        <w:tc>
          <w:tcPr>
            <w:tcW w:w="2790" w:type="dxa"/>
            <w:tcBorders>
              <w:top w:val="single" w:sz="4" w:space="0" w:color="000000"/>
              <w:start w:val="single" w:sz="4" w:space="0" w:color="000000"/>
            </w:tcBorders>
            <w:shd w:fill="FFFFCC" w:val="clear"/>
            <w:vAlign w:val="center"/>
          </w:tcPr>
          <w:p>
            <w:pPr>
              <w:pStyle w:val="Normal"/>
              <w:tabs>
                <w:tab w:val="clear" w:pos="720"/>
                <w:tab w:val="left" w:pos="540" w:leader="none"/>
              </w:tabs>
              <w:rPr>
                <w:b/>
              </w:rPr>
            </w:pPr>
            <w:r>
              <w:rPr>
                <w:b/>
              </w:rPr>
              <w:t>Heat Rate (HHV)</w:t>
            </w:r>
          </w:p>
        </w:tc>
        <w:tc>
          <w:tcPr>
            <w:tcW w:w="3963" w:type="dxa"/>
            <w:tcBorders>
              <w:top w:val="single" w:sz="4" w:space="0" w:color="000000"/>
              <w:end w:val="single" w:sz="4" w:space="0" w:color="000000"/>
            </w:tcBorders>
            <w:shd w:fill="FFFFCC" w:val="clear"/>
            <w:vAlign w:val="center"/>
          </w:tcPr>
          <w:p>
            <w:pPr>
              <w:pStyle w:val="Normal"/>
              <w:tabs>
                <w:tab w:val="clear" w:pos="720"/>
                <w:tab w:val="left" w:pos="540" w:leader="none"/>
              </w:tabs>
              <w:rPr/>
            </w:pPr>
            <w:r>
              <w:rPr/>
              <w:t>10,375 Btu/ kWh</w:t>
            </w:r>
          </w:p>
        </w:tc>
      </w:tr>
      <w:tr>
        <w:trPr>
          <w:trHeight w:val="500" w:hRule="atLeast"/>
        </w:trPr>
        <w:tc>
          <w:tcPr>
            <w:tcW w:w="2790" w:type="dxa"/>
            <w:tcBorders>
              <w:top w:val="single" w:sz="4" w:space="0" w:color="000000"/>
              <w:start w:val="single" w:sz="4" w:space="0" w:color="000000"/>
            </w:tcBorders>
            <w:shd w:fill="FFFFCC" w:val="clear"/>
            <w:vAlign w:val="center"/>
          </w:tcPr>
          <w:p>
            <w:pPr>
              <w:pStyle w:val="Normal"/>
              <w:tabs>
                <w:tab w:val="clear" w:pos="720"/>
                <w:tab w:val="left" w:pos="540" w:leader="none"/>
              </w:tabs>
              <w:rPr>
                <w:b/>
              </w:rPr>
            </w:pPr>
            <w:r>
              <w:rPr>
                <w:b/>
              </w:rPr>
              <w:t>Operating Cost</w:t>
            </w:r>
          </w:p>
        </w:tc>
        <w:tc>
          <w:tcPr>
            <w:tcW w:w="3963" w:type="dxa"/>
            <w:tcBorders>
              <w:top w:val="single" w:sz="4" w:space="0" w:color="000000"/>
              <w:end w:val="single" w:sz="4" w:space="0" w:color="000000"/>
            </w:tcBorders>
            <w:shd w:fill="FFFFCC" w:val="clear"/>
            <w:vAlign w:val="center"/>
          </w:tcPr>
          <w:p>
            <w:pPr>
              <w:pStyle w:val="Normal"/>
              <w:tabs>
                <w:tab w:val="clear" w:pos="720"/>
                <w:tab w:val="left" w:pos="540" w:leader="none"/>
              </w:tabs>
              <w:rPr/>
            </w:pPr>
            <w:r>
              <w:rPr/>
              <w:t>$0.812 / MWh</w:t>
            </w:r>
          </w:p>
        </w:tc>
      </w:tr>
      <w:tr>
        <w:trPr>
          <w:trHeight w:val="500" w:hRule="atLeast"/>
        </w:trPr>
        <w:tc>
          <w:tcPr>
            <w:tcW w:w="2790" w:type="dxa"/>
            <w:tcBorders>
              <w:start w:val="single" w:sz="4" w:space="0" w:color="000000"/>
              <w:bottom w:val="single" w:sz="4" w:space="0" w:color="000000"/>
            </w:tcBorders>
            <w:shd w:fill="FFFFCC" w:val="clear"/>
            <w:vAlign w:val="center"/>
          </w:tcPr>
          <w:p>
            <w:pPr>
              <w:pStyle w:val="Normal"/>
              <w:tabs>
                <w:tab w:val="clear" w:pos="720"/>
                <w:tab w:val="left" w:pos="540" w:leader="none"/>
              </w:tabs>
              <w:snapToGrid w:val="false"/>
              <w:rPr>
                <w:b/>
              </w:rPr>
            </w:pPr>
            <w:r>
              <w:rPr>
                <w:b/>
              </w:rPr>
            </w:r>
          </w:p>
        </w:tc>
        <w:tc>
          <w:tcPr>
            <w:tcW w:w="3963" w:type="dxa"/>
            <w:tcBorders>
              <w:bottom w:val="single" w:sz="4" w:space="0" w:color="000000"/>
              <w:end w:val="single" w:sz="4" w:space="0" w:color="000000"/>
            </w:tcBorders>
            <w:shd w:fill="FFFFCC" w:val="clear"/>
            <w:vAlign w:val="center"/>
          </w:tcPr>
          <w:p>
            <w:pPr>
              <w:pStyle w:val="Normal"/>
              <w:tabs>
                <w:tab w:val="clear" w:pos="720"/>
                <w:tab w:val="left" w:pos="540" w:leader="none"/>
              </w:tabs>
              <w:rPr/>
            </w:pPr>
            <w:r>
              <w:rPr/>
              <w:t>$0.96 / kW-month</w:t>
            </w:r>
          </w:p>
        </w:tc>
      </w:tr>
      <w:tr>
        <w:trPr>
          <w:trHeight w:val="500" w:hRule="atLeast"/>
        </w:trPr>
        <w:tc>
          <w:tcPr>
            <w:tcW w:w="2790" w:type="dxa"/>
            <w:tcBorders>
              <w:top w:val="single" w:sz="4" w:space="0" w:color="000000"/>
              <w:start w:val="single" w:sz="4" w:space="0" w:color="000000"/>
              <w:bottom w:val="single" w:sz="4" w:space="0" w:color="000000"/>
            </w:tcBorders>
            <w:shd w:fill="FFFFCC" w:val="clear"/>
            <w:vAlign w:val="center"/>
          </w:tcPr>
          <w:p>
            <w:pPr>
              <w:pStyle w:val="Normal"/>
              <w:tabs>
                <w:tab w:val="clear" w:pos="720"/>
                <w:tab w:val="left" w:pos="540" w:leader="none"/>
              </w:tabs>
              <w:rPr>
                <w:b/>
              </w:rPr>
            </w:pPr>
            <w:r>
              <w:rPr>
                <w:b/>
              </w:rPr>
              <w:t>Emissions (NOx)</w:t>
            </w:r>
          </w:p>
        </w:tc>
        <w:tc>
          <w:tcPr>
            <w:tcW w:w="3963" w:type="dxa"/>
            <w:tcBorders>
              <w:top w:val="single" w:sz="4" w:space="0" w:color="000000"/>
              <w:bottom w:val="single" w:sz="4" w:space="0" w:color="000000"/>
              <w:end w:val="single" w:sz="4" w:space="0" w:color="000000"/>
            </w:tcBorders>
            <w:shd w:fill="FFFFCC" w:val="clear"/>
            <w:vAlign w:val="center"/>
          </w:tcPr>
          <w:p>
            <w:pPr>
              <w:pStyle w:val="Normal"/>
              <w:tabs>
                <w:tab w:val="clear" w:pos="720"/>
                <w:tab w:val="left" w:pos="540" w:leader="none"/>
              </w:tabs>
              <w:rPr/>
            </w:pPr>
            <w:r>
              <w:rPr/>
              <w:t>25 PPM or 5 PPM w/ SCR’s</w:t>
            </w:r>
          </w:p>
        </w:tc>
      </w:tr>
    </w:tbl>
    <w:p>
      <w:pPr>
        <w:pStyle w:val="Normal"/>
        <w:ind w:start="0" w:end="0"/>
        <w:rPr>
          <w:b/>
        </w:rPr>
      </w:pPr>
      <w:r>
        <w:rPr>
          <w:b/>
        </w:rPr>
      </w:r>
    </w:p>
    <w:p>
      <w:pPr>
        <w:pStyle w:val="Heading2"/>
        <w:rPr/>
      </w:pPr>
      <w:bookmarkStart w:id="10" w:name="__RefHeading___Toc480103418"/>
      <w:bookmarkEnd w:id="10"/>
      <w:r>
        <w:rPr/>
        <w:t>Site Development</w:t>
      </w:r>
    </w:p>
    <w:p>
      <w:pPr>
        <w:pStyle w:val="Normal"/>
        <w:rPr/>
      </w:pPr>
      <w:r>
        <w:rPr/>
        <w:t>The Plant will consist of 2 LM6000 interconnected to DPC’s transmission system. Enron and DPC will work together to secure a suitable site for the construction of the Plant. Attributes that will impact site selection include:</w:t>
      </w:r>
    </w:p>
    <w:p>
      <w:pPr>
        <w:pStyle w:val="Normal"/>
        <w:rPr/>
      </w:pPr>
      <w:r>
        <w:rPr/>
      </w:r>
    </w:p>
    <w:p>
      <w:pPr>
        <w:pStyle w:val="Normal"/>
        <w:numPr>
          <w:ilvl w:val="0"/>
          <w:numId w:val="4"/>
        </w:numPr>
        <w:tabs>
          <w:tab w:val="clear" w:pos="720"/>
          <w:tab w:val="left" w:pos="1800" w:leader="none"/>
        </w:tabs>
        <w:ind w:hanging="360" w:start="1800" w:end="0"/>
        <w:rPr/>
      </w:pPr>
      <w:r>
        <w:rPr/>
        <w:t>Congestion, population and development near the site</w:t>
      </w:r>
    </w:p>
    <w:p>
      <w:pPr>
        <w:pStyle w:val="Normal"/>
        <w:numPr>
          <w:ilvl w:val="0"/>
          <w:numId w:val="4"/>
        </w:numPr>
        <w:tabs>
          <w:tab w:val="clear" w:pos="720"/>
          <w:tab w:val="left" w:pos="1800" w:leader="none"/>
        </w:tabs>
        <w:ind w:hanging="360" w:start="1800" w:end="0"/>
        <w:rPr/>
      </w:pPr>
      <w:r>
        <w:rPr/>
        <w:t>Geotechnical suitability</w:t>
      </w:r>
    </w:p>
    <w:p>
      <w:pPr>
        <w:pStyle w:val="Normal"/>
        <w:numPr>
          <w:ilvl w:val="0"/>
          <w:numId w:val="4"/>
        </w:numPr>
        <w:tabs>
          <w:tab w:val="clear" w:pos="720"/>
          <w:tab w:val="left" w:pos="1800" w:leader="none"/>
        </w:tabs>
        <w:ind w:hanging="360" w:start="1800" w:end="0"/>
        <w:rPr/>
      </w:pPr>
      <w:r>
        <w:rPr/>
        <w:t>Electrical interconnection and transmission impacts</w:t>
      </w:r>
    </w:p>
    <w:p>
      <w:pPr>
        <w:pStyle w:val="Normal"/>
        <w:numPr>
          <w:ilvl w:val="0"/>
          <w:numId w:val="4"/>
        </w:numPr>
        <w:tabs>
          <w:tab w:val="clear" w:pos="720"/>
          <w:tab w:val="left" w:pos="1800" w:leader="none"/>
        </w:tabs>
        <w:ind w:hanging="360" w:start="1800" w:end="0"/>
        <w:rPr/>
      </w:pPr>
      <w:r>
        <w:rPr/>
        <w:t>Gas pipeline vicinity, pressure and capacity</w:t>
      </w:r>
    </w:p>
    <w:p>
      <w:pPr>
        <w:pStyle w:val="Normal"/>
        <w:numPr>
          <w:ilvl w:val="0"/>
          <w:numId w:val="4"/>
        </w:numPr>
        <w:tabs>
          <w:tab w:val="clear" w:pos="720"/>
          <w:tab w:val="left" w:pos="1800" w:leader="none"/>
        </w:tabs>
        <w:ind w:hanging="360" w:start="1800" w:end="0"/>
        <w:rPr/>
      </w:pPr>
      <w:r>
        <w:rPr/>
        <w:t>Air quality conditions (attainment for NOx and CO)</w:t>
      </w:r>
    </w:p>
    <w:p>
      <w:pPr>
        <w:pStyle w:val="Normal"/>
        <w:numPr>
          <w:ilvl w:val="0"/>
          <w:numId w:val="4"/>
        </w:numPr>
        <w:tabs>
          <w:tab w:val="clear" w:pos="720"/>
          <w:tab w:val="left" w:pos="1800" w:leader="none"/>
        </w:tabs>
        <w:ind w:hanging="360" w:start="1800" w:end="0"/>
        <w:rPr/>
      </w:pPr>
      <w:r>
        <w:rPr/>
        <w:t>Access via existing roads</w:t>
      </w:r>
    </w:p>
    <w:p>
      <w:pPr>
        <w:pStyle w:val="Normal"/>
        <w:rPr/>
      </w:pPr>
      <w:r>
        <w:rPr/>
      </w:r>
    </w:p>
    <w:p>
      <w:pPr>
        <w:pStyle w:val="Normal"/>
        <w:rPr/>
      </w:pPr>
      <w:r>
        <w:rPr/>
        <w:t>Although the economics of this proposal are dependent on final site selection, the Project Cost (section 3.2) should be used to evaluate the benefits of Enron’s proposal.</w:t>
      </w:r>
    </w:p>
    <w:p>
      <w:pPr>
        <w:pStyle w:val="Normal"/>
        <w:rPr/>
      </w:pPr>
      <w:r>
        <w:rPr/>
      </w:r>
    </w:p>
    <w:p>
      <w:pPr>
        <w:pStyle w:val="Heading2"/>
        <w:rPr/>
      </w:pPr>
      <w:bookmarkStart w:id="11" w:name="__RefHeading___Toc480103419"/>
      <w:bookmarkEnd w:id="11"/>
      <w:r>
        <w:rPr/>
        <w:t>Fuel Supply</w:t>
      </w:r>
    </w:p>
    <w:p>
      <w:pPr>
        <w:pStyle w:val="Normal"/>
        <w:rPr/>
      </w:pPr>
      <w:r>
        <w:rPr/>
        <w:t>Enron can provide index-based gas supply. LM6000’s require 675 PSIG fuel supply. If the nearest pipeline operates at less than 675 PSIG, gas compression would be added to the facility. Additional information about fuel supply can be provided after preliminary sites have been selected.</w:t>
      </w:r>
    </w:p>
    <w:p>
      <w:pPr>
        <w:pStyle w:val="Normal"/>
        <w:rPr/>
      </w:pPr>
      <w:r>
        <w:rPr/>
      </w:r>
    </w:p>
    <w:p>
      <w:pPr>
        <w:pStyle w:val="Heading2"/>
        <w:rPr/>
      </w:pPr>
      <w:bookmarkStart w:id="12" w:name="__RefHeading___Toc480103420"/>
      <w:bookmarkEnd w:id="12"/>
      <w:r>
        <w:rPr/>
        <w:t>Electrical Interconnection</w:t>
      </w:r>
    </w:p>
    <w:p>
      <w:pPr>
        <w:pStyle w:val="Normal"/>
        <w:rPr/>
      </w:pPr>
      <w:r>
        <w:rPr/>
        <w:t>Electrical interconnection is dependent on final site selection. The impact of the generators on distribution and transmission systems will be evaluated during site selection.</w:t>
      </w:r>
    </w:p>
    <w:p>
      <w:pPr>
        <w:pStyle w:val="Normal"/>
        <w:rPr>
          <w:lang w:val="en-CA"/>
        </w:rPr>
      </w:pPr>
      <w:r>
        <w:rPr>
          <w:lang w:val="en-CA"/>
        </w:rPr>
        <w:drawing>
          <wp:anchor behindDoc="0" distT="0" distB="0" distL="114935" distR="114935" simplePos="0" locked="0" layoutInCell="0" allowOverlap="1" relativeHeight="4">
            <wp:simplePos x="0" y="0"/>
            <wp:positionH relativeFrom="column">
              <wp:posOffset>960120</wp:posOffset>
            </wp:positionH>
            <wp:positionV relativeFrom="paragraph">
              <wp:posOffset>266700</wp:posOffset>
            </wp:positionV>
            <wp:extent cx="3657600" cy="2377440"/>
            <wp:effectExtent l="0" t="0" r="0" b="0"/>
            <wp:wrapTopAndBottom/>
            <wp:docPr id="2" name="traky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kya" descr="" title=""/>
                    <pic:cNvPicPr>
                      <a:picLocks noChangeAspect="1" noChangeArrowheads="1"/>
                    </pic:cNvPicPr>
                  </pic:nvPicPr>
                  <pic:blipFill>
                    <a:blip r:embed="rId8"/>
                    <a:srcRect l="-15" t="-21" r="-15" b="-21"/>
                    <a:stretch>
                      <a:fillRect/>
                    </a:stretch>
                  </pic:blipFill>
                  <pic:spPr bwMode="auto">
                    <a:xfrm>
                      <a:off x="0" y="0"/>
                      <a:ext cx="3657600" cy="2377440"/>
                    </a:xfrm>
                    <a:prstGeom prst="rect">
                      <a:avLst/>
                    </a:prstGeom>
                    <a:noFill/>
                  </pic:spPr>
                </pic:pic>
              </a:graphicData>
            </a:graphic>
          </wp:anchor>
        </w:drawing>
      </w:r>
    </w:p>
    <w:p>
      <w:pPr>
        <w:pStyle w:val="Normal"/>
        <w:rPr>
          <w:lang w:val="en-CA"/>
        </w:rPr>
      </w:pPr>
      <w:r>
        <w:rPr>
          <w:lang w:val="en-CA"/>
        </w:rPr>
      </w:r>
      <w:r>
        <w:br w:type="page"/>
      </w:r>
      <w:r>
        <mc:AlternateContent>
          <mc:Choice Requires="wps">
            <w:drawing>
              <wp:anchor behindDoc="0" distT="0" distB="0" distL="114935" distR="114935" simplePos="0" locked="0" layoutInCell="1" allowOverlap="1" relativeHeight="5">
                <wp:simplePos x="0" y="0"/>
                <wp:positionH relativeFrom="column">
                  <wp:posOffset>1417320</wp:posOffset>
                </wp:positionH>
                <wp:positionV relativeFrom="paragraph">
                  <wp:posOffset>2468880</wp:posOffset>
                </wp:positionV>
                <wp:extent cx="2651760" cy="365760"/>
                <wp:effectExtent l="0" t="0" r="0" b="0"/>
                <wp:wrapNone/>
                <wp:docPr id="3" name="Frame1"/>
                <a:graphic xmlns:a="http://schemas.openxmlformats.org/drawingml/2006/main">
                  <a:graphicData uri="http://schemas.microsoft.com/office/word/2010/wordprocessingShape">
                    <wps:wsp>
                      <wps:cNvSpPr txBox="1"/>
                      <wps:spPr>
                        <a:xfrm>
                          <a:off x="0" y="0"/>
                          <a:ext cx="2651760" cy="365760"/>
                        </a:xfrm>
                        <a:prstGeom prst="rect"/>
                        <a:solidFill>
                          <a:srgbClr val="FFFFFF">
                            <a:alpha val="0"/>
                          </a:srgbClr>
                        </a:solidFill>
                      </wps:spPr>
                      <wps:txbx>
                        <w:txbxContent>
                          <w:p>
                            <w:pPr>
                              <w:pStyle w:val="Normal"/>
                              <w:jc w:val="center"/>
                              <w:rPr>
                                <w:b/>
                                <w:sz w:val="32"/>
                              </w:rPr>
                            </w:pPr>
                            <w:r>
                              <w:rPr>
                                <w:b/>
                                <w:sz w:val="32"/>
                              </w:rPr>
                              <w:t>LM6000 – based plant</w:t>
                            </w:r>
                          </w:p>
                        </w:txbxContent>
                      </wps:txbx>
                      <wps:bodyPr anchor="t" lIns="92075" tIns="46355" rIns="92075" bIns="46355">
                        <a:noAutofit/>
                      </wps:bodyPr>
                    </wps:wsp>
                  </a:graphicData>
                </a:graphic>
              </wp:anchor>
            </w:drawing>
          </mc:Choice>
          <mc:Fallback>
            <w:pict>
              <v:rect fillcolor="#FFFFFF" style="position:absolute;rotation:-0;width:208.8pt;height:28.8pt;mso-wrap-distance-left:9.05pt;mso-wrap-distance-right:9.05pt;mso-wrap-distance-top:0pt;mso-wrap-distance-bottom:0pt;margin-top:194.4pt;mso-position-vertical-relative:text;margin-left:111.6pt;mso-position-horizontal-relative:text">
                <v:fill opacity="0f"/>
                <v:textbox inset="0.100694444444444in,0.0506944444444444in,0.100694444444444in,0.0506944444444444in">
                  <w:txbxContent>
                    <w:p>
                      <w:pPr>
                        <w:pStyle w:val="Normal"/>
                        <w:jc w:val="center"/>
                        <w:rPr>
                          <w:b/>
                          <w:sz w:val="32"/>
                        </w:rPr>
                      </w:pPr>
                      <w:r>
                        <w:rPr>
                          <w:b/>
                          <w:sz w:val="32"/>
                        </w:rPr>
                        <w:t>LM6000 – based plant</w:t>
                      </w:r>
                    </w:p>
                  </w:txbxContent>
                </v:textbox>
                <w10:wrap type="none"/>
              </v:rect>
            </w:pict>
          </mc:Fallback>
        </mc:AlternateContent>
      </w:r>
    </w:p>
    <w:p>
      <w:pPr>
        <w:pStyle w:val="Normal"/>
        <w:rPr/>
      </w:pPr>
      <w:r>
        <w:rPr/>
      </w:r>
    </w:p>
    <w:p>
      <w:pPr>
        <w:pStyle w:val="Heading1"/>
        <w:rPr/>
      </w:pPr>
      <w:bookmarkStart w:id="13" w:name="__RefHeading___Toc480103421"/>
      <w:bookmarkEnd w:id="13"/>
      <w:r>
        <w:rPr/>
        <w:t>Appendices</w:t>
      </w:r>
    </w:p>
    <w:p>
      <w:pPr>
        <w:pStyle w:val="Heading2"/>
        <w:rPr/>
      </w:pPr>
      <w:bookmarkStart w:id="14" w:name="__RefHeading___Toc480103422"/>
      <w:bookmarkEnd w:id="14"/>
      <w:r>
        <w:rPr/>
        <w:t>Next Steps</w:t>
      </w:r>
    </w:p>
    <w:p>
      <w:pPr>
        <w:pStyle w:val="Normal"/>
        <w:rPr/>
      </w:pPr>
      <w:r>
        <w:rPr/>
        <w:t>The schedule below provides sufficient time to ensure that generation equipment is available for DPC. This schedule also ensures that the Plant can be commissioned before May 1,2001.</w:t>
      </w:r>
    </w:p>
    <w:p>
      <w:pPr>
        <w:pStyle w:val="Normal"/>
        <w:rPr/>
      </w:pPr>
      <w:r>
        <w:rPr/>
      </w:r>
    </w:p>
    <w:p>
      <w:pPr>
        <w:pStyle w:val="Header"/>
        <w:tabs>
          <w:tab w:val="clear" w:pos="4320"/>
          <w:tab w:val="clear" w:pos="8640"/>
        </w:tabs>
        <w:ind w:hanging="2880" w:start="4320" w:end="0"/>
        <w:rPr/>
      </w:pPr>
      <w:r>
        <w:rPr/>
        <w:tab/>
      </w:r>
    </w:p>
    <w:tbl>
      <w:tblPr>
        <w:tblW w:w="8280" w:type="dxa"/>
        <w:jc w:val="start"/>
        <w:tblInd w:w="648" w:type="dxa"/>
        <w:tblLayout w:type="fixed"/>
        <w:tblCellMar>
          <w:top w:w="0" w:type="dxa"/>
          <w:start w:w="108" w:type="dxa"/>
          <w:bottom w:w="0" w:type="dxa"/>
          <w:end w:w="108" w:type="dxa"/>
        </w:tblCellMar>
      </w:tblPr>
      <w:tblGrid>
        <w:gridCol w:w="2790"/>
        <w:gridCol w:w="5490"/>
      </w:tblGrid>
      <w:tr>
        <w:trPr/>
        <w:tc>
          <w:tcPr>
            <w:tcW w:w="2790" w:type="dxa"/>
            <w:tcBorders>
              <w:top w:val="single" w:sz="4" w:space="0" w:color="000000"/>
              <w:start w:val="single" w:sz="4" w:space="0" w:color="000000"/>
              <w:bottom w:val="single" w:sz="4" w:space="0" w:color="000000"/>
            </w:tcBorders>
            <w:shd w:fill="800000" w:val="clear"/>
          </w:tcPr>
          <w:p>
            <w:pPr>
              <w:pStyle w:val="Normal"/>
              <w:tabs>
                <w:tab w:val="clear" w:pos="720"/>
                <w:tab w:val="left" w:pos="540" w:leader="none"/>
              </w:tabs>
              <w:jc w:val="center"/>
              <w:rPr>
                <w:b/>
                <w:color w:val="FFFFFF"/>
              </w:rPr>
            </w:pPr>
            <w:r>
              <w:rPr>
                <w:b/>
                <w:color w:val="FFFFFF"/>
              </w:rPr>
              <w:t>Date</w:t>
            </w:r>
          </w:p>
        </w:tc>
        <w:tc>
          <w:tcPr>
            <w:tcW w:w="5490" w:type="dxa"/>
            <w:tcBorders>
              <w:top w:val="single" w:sz="4" w:space="0" w:color="000000"/>
              <w:bottom w:val="single" w:sz="4" w:space="0" w:color="000000"/>
              <w:end w:val="single" w:sz="4" w:space="0" w:color="000000"/>
            </w:tcBorders>
            <w:shd w:fill="800000" w:val="clear"/>
          </w:tcPr>
          <w:p>
            <w:pPr>
              <w:pStyle w:val="Normal"/>
              <w:tabs>
                <w:tab w:val="clear" w:pos="720"/>
                <w:tab w:val="left" w:pos="540" w:leader="none"/>
              </w:tabs>
              <w:jc w:val="center"/>
              <w:rPr>
                <w:b/>
                <w:color w:val="FFFFFF"/>
              </w:rPr>
            </w:pPr>
            <w:r>
              <w:rPr>
                <w:b/>
                <w:color w:val="FFFFFF"/>
              </w:rPr>
              <w:t>Milestone</w:t>
            </w:r>
          </w:p>
        </w:tc>
      </w:tr>
      <w:tr>
        <w:trPr>
          <w:trHeight w:val="447" w:hRule="atLeast"/>
        </w:trPr>
        <w:tc>
          <w:tcPr>
            <w:tcW w:w="2790" w:type="dxa"/>
            <w:tcBorders>
              <w:start w:val="single" w:sz="4" w:space="0" w:color="000000"/>
            </w:tcBorders>
            <w:shd w:fill="FFFFCC" w:val="clear"/>
            <w:vAlign w:val="center"/>
          </w:tcPr>
          <w:p>
            <w:pPr>
              <w:pStyle w:val="Normal"/>
              <w:tabs>
                <w:tab w:val="clear" w:pos="720"/>
                <w:tab w:val="left" w:pos="540" w:leader="none"/>
              </w:tabs>
              <w:ind w:start="0" w:end="0"/>
              <w:rPr>
                <w:b/>
              </w:rPr>
            </w:pPr>
            <w:r>
              <w:rPr>
                <w:rFonts w:eastAsia="Arial"/>
                <w:b/>
              </w:rPr>
              <w:t xml:space="preserve">        </w:t>
            </w:r>
            <w:r>
              <w:rPr>
                <w:b/>
              </w:rPr>
              <w:t>May 1, 2000</w:t>
            </w:r>
          </w:p>
        </w:tc>
        <w:tc>
          <w:tcPr>
            <w:tcW w:w="5490" w:type="dxa"/>
            <w:tcBorders>
              <w:end w:val="single" w:sz="4" w:space="0" w:color="000000"/>
            </w:tcBorders>
            <w:shd w:fill="FFFFCC" w:val="clear"/>
            <w:vAlign w:val="center"/>
          </w:tcPr>
          <w:p>
            <w:pPr>
              <w:pStyle w:val="Normal"/>
              <w:tabs>
                <w:tab w:val="clear" w:pos="720"/>
                <w:tab w:val="left" w:pos="540" w:leader="none"/>
              </w:tabs>
              <w:rPr/>
            </w:pPr>
            <w:r>
              <w:rPr/>
              <w:t>Feedback to Enron concerning this proposal</w:t>
            </w:r>
          </w:p>
        </w:tc>
      </w:tr>
      <w:tr>
        <w:trPr>
          <w:trHeight w:val="980" w:hRule="atLeast"/>
        </w:trPr>
        <w:tc>
          <w:tcPr>
            <w:tcW w:w="2790" w:type="dxa"/>
            <w:tcBorders>
              <w:top w:val="single" w:sz="4" w:space="0" w:color="000000"/>
              <w:start w:val="single" w:sz="4" w:space="0" w:color="000000"/>
            </w:tcBorders>
            <w:shd w:fill="FFFFCC" w:val="clear"/>
            <w:vAlign w:val="center"/>
          </w:tcPr>
          <w:p>
            <w:pPr>
              <w:pStyle w:val="Normal"/>
              <w:tabs>
                <w:tab w:val="clear" w:pos="720"/>
                <w:tab w:val="left" w:pos="540" w:leader="none"/>
              </w:tabs>
              <w:rPr>
                <w:b/>
              </w:rPr>
            </w:pPr>
            <w:r>
              <w:rPr>
                <w:b/>
              </w:rPr>
              <w:t>May 15, 2000</w:t>
            </w:r>
          </w:p>
        </w:tc>
        <w:tc>
          <w:tcPr>
            <w:tcW w:w="5490" w:type="dxa"/>
            <w:tcBorders>
              <w:top w:val="single" w:sz="4" w:space="0" w:color="000000"/>
              <w:end w:val="single" w:sz="4" w:space="0" w:color="000000"/>
            </w:tcBorders>
            <w:shd w:fill="FFFFCC" w:val="clear"/>
            <w:vAlign w:val="center"/>
          </w:tcPr>
          <w:p>
            <w:pPr>
              <w:pStyle w:val="Normal"/>
              <w:tabs>
                <w:tab w:val="clear" w:pos="720"/>
                <w:tab w:val="left" w:pos="540" w:leader="none"/>
              </w:tabs>
              <w:rPr/>
            </w:pPr>
            <w:r>
              <w:rPr/>
              <w:t>Execute letter of intent</w:t>
            </w:r>
          </w:p>
          <w:p>
            <w:pPr>
              <w:pStyle w:val="Header"/>
              <w:tabs>
                <w:tab w:val="clear" w:pos="4320"/>
                <w:tab w:val="clear" w:pos="8640"/>
                <w:tab w:val="left" w:pos="540" w:leader="none"/>
              </w:tabs>
              <w:rPr/>
            </w:pPr>
            <w:r>
              <w:rPr/>
              <w:t>Identify preliminary sites</w:t>
            </w:r>
          </w:p>
          <w:p>
            <w:pPr>
              <w:pStyle w:val="Normal"/>
              <w:tabs>
                <w:tab w:val="clear" w:pos="720"/>
                <w:tab w:val="left" w:pos="540" w:leader="none"/>
              </w:tabs>
              <w:rPr/>
            </w:pPr>
            <w:r>
              <w:rPr/>
              <w:t>Refine economics</w:t>
            </w:r>
          </w:p>
        </w:tc>
      </w:tr>
      <w:tr>
        <w:trPr>
          <w:trHeight w:val="899" w:hRule="atLeast"/>
        </w:trPr>
        <w:tc>
          <w:tcPr>
            <w:tcW w:w="2790" w:type="dxa"/>
            <w:tcBorders>
              <w:top w:val="single" w:sz="4" w:space="0" w:color="000000"/>
              <w:start w:val="single" w:sz="4" w:space="0" w:color="000000"/>
            </w:tcBorders>
            <w:shd w:fill="FFFFCC" w:val="clear"/>
            <w:vAlign w:val="center"/>
          </w:tcPr>
          <w:p>
            <w:pPr>
              <w:pStyle w:val="Normal"/>
              <w:tabs>
                <w:tab w:val="clear" w:pos="720"/>
                <w:tab w:val="left" w:pos="540" w:leader="none"/>
              </w:tabs>
              <w:rPr>
                <w:b/>
              </w:rPr>
            </w:pPr>
            <w:r>
              <w:rPr>
                <w:b/>
              </w:rPr>
              <w:t>June 16, 2000</w:t>
            </w:r>
          </w:p>
        </w:tc>
        <w:tc>
          <w:tcPr>
            <w:tcW w:w="5490" w:type="dxa"/>
            <w:tcBorders>
              <w:top w:val="single" w:sz="4" w:space="0" w:color="000000"/>
              <w:end w:val="single" w:sz="4" w:space="0" w:color="000000"/>
            </w:tcBorders>
            <w:shd w:fill="FFFFCC" w:val="clear"/>
            <w:vAlign w:val="center"/>
          </w:tcPr>
          <w:p>
            <w:pPr>
              <w:pStyle w:val="Normal"/>
              <w:tabs>
                <w:tab w:val="clear" w:pos="720"/>
                <w:tab w:val="left" w:pos="540" w:leader="none"/>
              </w:tabs>
              <w:rPr/>
            </w:pPr>
            <w:r>
              <w:rPr/>
              <w:t>Secure sites</w:t>
            </w:r>
          </w:p>
          <w:p>
            <w:pPr>
              <w:pStyle w:val="Normal"/>
              <w:tabs>
                <w:tab w:val="clear" w:pos="720"/>
                <w:tab w:val="left" w:pos="540" w:leader="none"/>
              </w:tabs>
              <w:rPr/>
            </w:pPr>
            <w:r>
              <w:rPr/>
              <w:t>Finalize economics</w:t>
            </w:r>
          </w:p>
          <w:p>
            <w:pPr>
              <w:pStyle w:val="Normal"/>
              <w:tabs>
                <w:tab w:val="clear" w:pos="720"/>
                <w:tab w:val="left" w:pos="540" w:leader="none"/>
              </w:tabs>
              <w:rPr/>
            </w:pPr>
            <w:r>
              <w:rPr/>
              <w:t>Execute definitive documents</w:t>
            </w:r>
          </w:p>
        </w:tc>
      </w:tr>
      <w:tr>
        <w:trPr>
          <w:trHeight w:val="431" w:hRule="atLeast"/>
        </w:trPr>
        <w:tc>
          <w:tcPr>
            <w:tcW w:w="2790" w:type="dxa"/>
            <w:tcBorders>
              <w:top w:val="single" w:sz="4" w:space="0" w:color="000000"/>
              <w:start w:val="single" w:sz="4" w:space="0" w:color="000000"/>
              <w:bottom w:val="single" w:sz="4" w:space="0" w:color="000000"/>
            </w:tcBorders>
            <w:shd w:fill="FFFFCC" w:val="clear"/>
            <w:vAlign w:val="center"/>
          </w:tcPr>
          <w:p>
            <w:pPr>
              <w:pStyle w:val="Normal"/>
              <w:tabs>
                <w:tab w:val="clear" w:pos="720"/>
                <w:tab w:val="left" w:pos="540" w:leader="none"/>
              </w:tabs>
              <w:rPr>
                <w:b/>
              </w:rPr>
            </w:pPr>
            <w:r>
              <w:rPr>
                <w:b/>
              </w:rPr>
              <w:t>Sept 1, 2000</w:t>
            </w:r>
          </w:p>
        </w:tc>
        <w:tc>
          <w:tcPr>
            <w:tcW w:w="5490" w:type="dxa"/>
            <w:tcBorders>
              <w:top w:val="single" w:sz="4" w:space="0" w:color="000000"/>
              <w:bottom w:val="single" w:sz="4" w:space="0" w:color="000000"/>
              <w:end w:val="single" w:sz="4" w:space="0" w:color="000000"/>
            </w:tcBorders>
            <w:shd w:fill="FFFFCC" w:val="clear"/>
            <w:vAlign w:val="center"/>
          </w:tcPr>
          <w:p>
            <w:pPr>
              <w:pStyle w:val="Normal"/>
              <w:tabs>
                <w:tab w:val="clear" w:pos="720"/>
                <w:tab w:val="left" w:pos="540" w:leader="none"/>
              </w:tabs>
              <w:rPr/>
            </w:pPr>
            <w:r>
              <w:rPr/>
              <w:t>Begin construction</w:t>
            </w:r>
          </w:p>
        </w:tc>
      </w:tr>
      <w:tr>
        <w:trPr>
          <w:trHeight w:val="440" w:hRule="atLeast"/>
        </w:trPr>
        <w:tc>
          <w:tcPr>
            <w:tcW w:w="2790" w:type="dxa"/>
            <w:tcBorders>
              <w:start w:val="single" w:sz="4" w:space="0" w:color="000000"/>
              <w:bottom w:val="single" w:sz="4" w:space="0" w:color="000000"/>
            </w:tcBorders>
            <w:shd w:fill="FFFFCC" w:val="clear"/>
            <w:vAlign w:val="center"/>
          </w:tcPr>
          <w:p>
            <w:pPr>
              <w:pStyle w:val="Normal"/>
              <w:tabs>
                <w:tab w:val="clear" w:pos="720"/>
                <w:tab w:val="left" w:pos="540" w:leader="none"/>
              </w:tabs>
              <w:rPr>
                <w:b/>
              </w:rPr>
            </w:pPr>
            <w:r>
              <w:rPr>
                <w:b/>
              </w:rPr>
              <w:t>May 1, 2001</w:t>
            </w:r>
          </w:p>
        </w:tc>
        <w:tc>
          <w:tcPr>
            <w:tcW w:w="5490" w:type="dxa"/>
            <w:tcBorders>
              <w:bottom w:val="single" w:sz="4" w:space="0" w:color="000000"/>
              <w:end w:val="single" w:sz="4" w:space="0" w:color="000000"/>
            </w:tcBorders>
            <w:shd w:fill="FFFFCC" w:val="clear"/>
            <w:vAlign w:val="center"/>
          </w:tcPr>
          <w:p>
            <w:pPr>
              <w:pStyle w:val="Normal"/>
              <w:tabs>
                <w:tab w:val="clear" w:pos="720"/>
                <w:tab w:val="left" w:pos="540" w:leader="none"/>
              </w:tabs>
              <w:rPr/>
            </w:pPr>
            <w:r>
              <w:rPr/>
              <w:t xml:space="preserve">Begin commercial operations  </w:t>
            </w:r>
          </w:p>
        </w:tc>
      </w:tr>
    </w:tbl>
    <w:p>
      <w:pPr>
        <w:pStyle w:val="Header"/>
        <w:tabs>
          <w:tab w:val="clear" w:pos="4320"/>
          <w:tab w:val="clear" w:pos="8640"/>
        </w:tabs>
        <w:ind w:hanging="2880" w:start="4320" w:end="0"/>
        <w:rPr/>
      </w:pPr>
      <w:r>
        <w:rPr/>
        <w:tab/>
      </w:r>
    </w:p>
    <w:p>
      <w:pPr>
        <w:pStyle w:val="Header"/>
        <w:tabs>
          <w:tab w:val="clear" w:pos="4320"/>
          <w:tab w:val="clear" w:pos="8640"/>
        </w:tabs>
        <w:ind w:hanging="2880" w:start="4320" w:end="0"/>
        <w:rPr/>
      </w:pPr>
      <w:r>
        <w:rPr/>
      </w:r>
    </w:p>
    <w:p>
      <w:pPr>
        <w:pStyle w:val="Heading2"/>
        <w:rPr/>
      </w:pPr>
      <w:bookmarkStart w:id="15" w:name="__RefHeading___Toc480103423"/>
      <w:bookmarkEnd w:id="15"/>
      <w:r>
        <w:rPr/>
        <w:t>Enron Project Team</w:t>
      </w:r>
    </w:p>
    <w:p>
      <w:pPr>
        <w:pStyle w:val="Normal"/>
        <w:rPr/>
      </w:pPr>
      <w:r>
        <w:rPr/>
      </w:r>
    </w:p>
    <w:tbl>
      <w:tblPr>
        <w:tblW w:w="8280" w:type="dxa"/>
        <w:jc w:val="start"/>
        <w:tblInd w:w="648" w:type="dxa"/>
        <w:tblLayout w:type="fixed"/>
        <w:tblCellMar>
          <w:top w:w="0" w:type="dxa"/>
          <w:start w:w="108" w:type="dxa"/>
          <w:bottom w:w="0" w:type="dxa"/>
          <w:end w:w="108" w:type="dxa"/>
        </w:tblCellMar>
      </w:tblPr>
      <w:tblGrid>
        <w:gridCol w:w="2070"/>
        <w:gridCol w:w="2250"/>
        <w:gridCol w:w="2250"/>
        <w:gridCol w:w="1710"/>
      </w:tblGrid>
      <w:tr>
        <w:trPr/>
        <w:tc>
          <w:tcPr>
            <w:tcW w:w="8280" w:type="dxa"/>
            <w:gridSpan w:val="4"/>
            <w:tcBorders>
              <w:top w:val="single" w:sz="4" w:space="0" w:color="000000"/>
              <w:start w:val="single" w:sz="4" w:space="0" w:color="000000"/>
              <w:bottom w:val="single" w:sz="12" w:space="0" w:color="000000"/>
              <w:end w:val="single" w:sz="4" w:space="0" w:color="000000"/>
            </w:tcBorders>
            <w:shd w:fill="800000" w:val="clear"/>
          </w:tcPr>
          <w:p>
            <w:pPr>
              <w:pStyle w:val="Normal"/>
              <w:ind w:start="-18" w:end="0"/>
              <w:jc w:val="center"/>
              <w:rPr>
                <w:b/>
                <w:color w:val="FFFFFF"/>
              </w:rPr>
            </w:pPr>
            <w:r>
              <w:rPr>
                <w:b/>
                <w:color w:val="FFFFFF"/>
              </w:rPr>
              <w:t>Project Team</w:t>
            </w:r>
          </w:p>
        </w:tc>
      </w:tr>
      <w:tr>
        <w:trPr/>
        <w:tc>
          <w:tcPr>
            <w:tcW w:w="2070" w:type="dxa"/>
            <w:tcBorders>
              <w:start w:val="single" w:sz="4" w:space="0" w:color="000000"/>
            </w:tcBorders>
            <w:shd w:fill="FFFFCC" w:val="clear"/>
          </w:tcPr>
          <w:p>
            <w:pPr>
              <w:pStyle w:val="Normal"/>
              <w:snapToGrid w:val="false"/>
              <w:ind w:start="-18" w:end="0"/>
              <w:rPr>
                <w:b/>
                <w:i/>
                <w:i/>
                <w:color w:val="FFFFFF"/>
              </w:rPr>
            </w:pPr>
            <w:r>
              <w:rPr>
                <w:b/>
                <w:i/>
                <w:color w:val="FFFFFF"/>
              </w:rPr>
            </w:r>
          </w:p>
        </w:tc>
        <w:tc>
          <w:tcPr>
            <w:tcW w:w="2250" w:type="dxa"/>
            <w:tcBorders/>
            <w:shd w:fill="FFFFCC" w:val="clear"/>
          </w:tcPr>
          <w:p>
            <w:pPr>
              <w:pStyle w:val="Normal"/>
              <w:snapToGrid w:val="false"/>
              <w:ind w:start="0" w:end="0"/>
              <w:rPr/>
            </w:pPr>
            <w:r>
              <w:rPr/>
            </w:r>
          </w:p>
        </w:tc>
        <w:tc>
          <w:tcPr>
            <w:tcW w:w="2250" w:type="dxa"/>
            <w:tcBorders/>
            <w:shd w:fill="FFFFCC" w:val="clear"/>
          </w:tcPr>
          <w:p>
            <w:pPr>
              <w:pStyle w:val="Normal"/>
              <w:snapToGrid w:val="false"/>
              <w:ind w:start="-18" w:end="0"/>
              <w:rPr/>
            </w:pPr>
            <w:r>
              <w:rPr/>
            </w:r>
          </w:p>
        </w:tc>
        <w:tc>
          <w:tcPr>
            <w:tcW w:w="1710" w:type="dxa"/>
            <w:tcBorders>
              <w:end w:val="single" w:sz="4" w:space="0" w:color="000000"/>
            </w:tcBorders>
            <w:shd w:fill="FFFFCC" w:val="clear"/>
          </w:tcPr>
          <w:p>
            <w:pPr>
              <w:pStyle w:val="Normal"/>
              <w:snapToGrid w:val="false"/>
              <w:ind w:start="-18" w:end="0"/>
              <w:rPr/>
            </w:pPr>
            <w:r>
              <w:rPr/>
            </w:r>
          </w:p>
        </w:tc>
      </w:tr>
      <w:tr>
        <w:trPr/>
        <w:tc>
          <w:tcPr>
            <w:tcW w:w="2070" w:type="dxa"/>
            <w:tcBorders>
              <w:start w:val="single" w:sz="4" w:space="0" w:color="000000"/>
            </w:tcBorders>
            <w:shd w:fill="FFFFCC" w:val="clear"/>
          </w:tcPr>
          <w:p>
            <w:pPr>
              <w:pStyle w:val="Normal"/>
              <w:ind w:start="-18" w:end="0"/>
              <w:rPr/>
            </w:pPr>
            <w:r>
              <w:rPr>
                <w:rFonts w:eastAsia="Arial"/>
              </w:rPr>
              <w:t xml:space="preserve"> </w:t>
            </w:r>
            <w:r>
              <w:rPr/>
              <w:t>Ozzie Pagan</w:t>
            </w:r>
          </w:p>
        </w:tc>
        <w:tc>
          <w:tcPr>
            <w:tcW w:w="2250" w:type="dxa"/>
            <w:tcBorders/>
            <w:shd w:fill="FFFFCC" w:val="clear"/>
          </w:tcPr>
          <w:p>
            <w:pPr>
              <w:pStyle w:val="Normal"/>
              <w:ind w:start="0" w:end="0"/>
              <w:rPr/>
            </w:pPr>
            <w:r>
              <w:rPr/>
              <w:t>Vice President</w:t>
            </w:r>
          </w:p>
        </w:tc>
        <w:tc>
          <w:tcPr>
            <w:tcW w:w="2250" w:type="dxa"/>
            <w:tcBorders/>
            <w:shd w:fill="FFFFCC" w:val="clear"/>
          </w:tcPr>
          <w:p>
            <w:pPr>
              <w:pStyle w:val="Normal"/>
              <w:ind w:start="-18" w:end="0"/>
              <w:rPr/>
            </w:pPr>
            <w:r>
              <w:rPr/>
              <w:t>Origination</w:t>
            </w:r>
          </w:p>
        </w:tc>
        <w:tc>
          <w:tcPr>
            <w:tcW w:w="1710" w:type="dxa"/>
            <w:tcBorders>
              <w:end w:val="single" w:sz="4" w:space="0" w:color="000000"/>
            </w:tcBorders>
            <w:shd w:fill="FFFFCC" w:val="clear"/>
          </w:tcPr>
          <w:p>
            <w:pPr>
              <w:pStyle w:val="Normal"/>
              <w:ind w:start="-18" w:end="0"/>
              <w:rPr/>
            </w:pPr>
            <w:r>
              <w:rPr/>
              <w:t>713-853-5429</w:t>
            </w:r>
          </w:p>
        </w:tc>
      </w:tr>
      <w:tr>
        <w:trPr/>
        <w:tc>
          <w:tcPr>
            <w:tcW w:w="2070" w:type="dxa"/>
            <w:tcBorders>
              <w:start w:val="single" w:sz="4" w:space="0" w:color="000000"/>
            </w:tcBorders>
            <w:shd w:fill="FFFFCC" w:val="clear"/>
          </w:tcPr>
          <w:p>
            <w:pPr>
              <w:pStyle w:val="Normal"/>
              <w:ind w:start="-18" w:end="-108"/>
              <w:rPr/>
            </w:pPr>
            <w:r>
              <w:rPr>
                <w:rFonts w:eastAsia="Arial"/>
              </w:rPr>
              <w:t xml:space="preserve"> </w:t>
            </w:r>
            <w:r>
              <w:rPr/>
              <w:t>Russ Porter</w:t>
            </w:r>
          </w:p>
        </w:tc>
        <w:tc>
          <w:tcPr>
            <w:tcW w:w="2250" w:type="dxa"/>
            <w:tcBorders/>
            <w:shd w:fill="FFFFCC" w:val="clear"/>
          </w:tcPr>
          <w:p>
            <w:pPr>
              <w:pStyle w:val="Normal"/>
              <w:ind w:start="0" w:end="0"/>
              <w:rPr/>
            </w:pPr>
            <w:r>
              <w:rPr/>
              <w:t>Manager</w:t>
            </w:r>
          </w:p>
        </w:tc>
        <w:tc>
          <w:tcPr>
            <w:tcW w:w="2250" w:type="dxa"/>
            <w:tcBorders/>
            <w:shd w:fill="FFFFCC" w:val="clear"/>
          </w:tcPr>
          <w:p>
            <w:pPr>
              <w:pStyle w:val="Normal"/>
              <w:ind w:start="-18" w:end="0"/>
              <w:rPr/>
            </w:pPr>
            <w:r>
              <w:rPr/>
              <w:t>Commercial Trans.</w:t>
            </w:r>
          </w:p>
        </w:tc>
        <w:tc>
          <w:tcPr>
            <w:tcW w:w="1710" w:type="dxa"/>
            <w:tcBorders>
              <w:end w:val="single" w:sz="4" w:space="0" w:color="000000"/>
            </w:tcBorders>
            <w:shd w:fill="FFFFCC" w:val="clear"/>
          </w:tcPr>
          <w:p>
            <w:pPr>
              <w:pStyle w:val="Normal"/>
              <w:ind w:start="-18" w:end="0"/>
              <w:rPr/>
            </w:pPr>
            <w:r>
              <w:rPr/>
              <w:t>713-345-8410</w:t>
            </w:r>
          </w:p>
        </w:tc>
      </w:tr>
      <w:tr>
        <w:trPr/>
        <w:tc>
          <w:tcPr>
            <w:tcW w:w="2070" w:type="dxa"/>
            <w:tcBorders>
              <w:start w:val="single" w:sz="4" w:space="0" w:color="000000"/>
            </w:tcBorders>
            <w:shd w:fill="FFFFCC" w:val="clear"/>
          </w:tcPr>
          <w:p>
            <w:pPr>
              <w:pStyle w:val="Normal"/>
              <w:ind w:start="-18" w:end="-108"/>
              <w:rPr/>
            </w:pPr>
            <w:r>
              <w:rPr>
                <w:rFonts w:eastAsia="Arial"/>
              </w:rPr>
              <w:t xml:space="preserve"> </w:t>
            </w:r>
            <w:r>
              <w:rPr/>
              <w:t>Webb Jennings</w:t>
            </w:r>
          </w:p>
        </w:tc>
        <w:tc>
          <w:tcPr>
            <w:tcW w:w="2250" w:type="dxa"/>
            <w:tcBorders/>
            <w:shd w:fill="FFFFCC" w:val="clear"/>
          </w:tcPr>
          <w:p>
            <w:pPr>
              <w:pStyle w:val="Normal"/>
              <w:ind w:start="0" w:end="0"/>
              <w:rPr/>
            </w:pPr>
            <w:r>
              <w:rPr/>
              <w:t>Associate</w:t>
            </w:r>
          </w:p>
        </w:tc>
        <w:tc>
          <w:tcPr>
            <w:tcW w:w="2250" w:type="dxa"/>
            <w:tcBorders/>
            <w:shd w:fill="FFFFCC" w:val="clear"/>
          </w:tcPr>
          <w:p>
            <w:pPr>
              <w:pStyle w:val="Normal"/>
              <w:ind w:start="-18" w:end="0"/>
              <w:rPr/>
            </w:pPr>
            <w:r>
              <w:rPr/>
              <w:t>Commercial Trans.</w:t>
            </w:r>
          </w:p>
        </w:tc>
        <w:tc>
          <w:tcPr>
            <w:tcW w:w="1710" w:type="dxa"/>
            <w:tcBorders>
              <w:end w:val="single" w:sz="4" w:space="0" w:color="000000"/>
            </w:tcBorders>
            <w:shd w:fill="FFFFCC" w:val="clear"/>
          </w:tcPr>
          <w:p>
            <w:pPr>
              <w:pStyle w:val="Normal"/>
              <w:ind w:start="-18" w:end="0"/>
              <w:rPr/>
            </w:pPr>
            <w:r>
              <w:rPr/>
              <w:t>713-853-1944</w:t>
            </w:r>
          </w:p>
        </w:tc>
      </w:tr>
      <w:tr>
        <w:trPr/>
        <w:tc>
          <w:tcPr>
            <w:tcW w:w="2070" w:type="dxa"/>
            <w:tcBorders>
              <w:start w:val="single" w:sz="4" w:space="0" w:color="000000"/>
            </w:tcBorders>
            <w:shd w:fill="FFFFCC" w:val="clear"/>
          </w:tcPr>
          <w:p>
            <w:pPr>
              <w:pStyle w:val="Normal"/>
              <w:ind w:start="-18" w:end="0"/>
              <w:rPr/>
            </w:pPr>
            <w:r>
              <w:rPr>
                <w:rFonts w:eastAsia="Arial"/>
              </w:rPr>
              <w:t xml:space="preserve"> </w:t>
            </w:r>
            <w:r>
              <w:rPr/>
              <w:t>Claire Broido</w:t>
            </w:r>
          </w:p>
        </w:tc>
        <w:tc>
          <w:tcPr>
            <w:tcW w:w="2250" w:type="dxa"/>
            <w:tcBorders/>
            <w:shd w:fill="FFFFCC" w:val="clear"/>
          </w:tcPr>
          <w:p>
            <w:pPr>
              <w:pStyle w:val="Normal"/>
              <w:ind w:start="0" w:end="0"/>
              <w:rPr/>
            </w:pPr>
            <w:r>
              <w:rPr/>
              <w:t>Associate</w:t>
            </w:r>
          </w:p>
        </w:tc>
        <w:tc>
          <w:tcPr>
            <w:tcW w:w="2250" w:type="dxa"/>
            <w:tcBorders/>
            <w:shd w:fill="FFFFCC" w:val="clear"/>
          </w:tcPr>
          <w:p>
            <w:pPr>
              <w:pStyle w:val="Normal"/>
              <w:ind w:start="-18" w:end="0"/>
              <w:rPr/>
            </w:pPr>
            <w:r>
              <w:rPr/>
              <w:t>Structuring</w:t>
            </w:r>
          </w:p>
        </w:tc>
        <w:tc>
          <w:tcPr>
            <w:tcW w:w="1710" w:type="dxa"/>
            <w:tcBorders>
              <w:end w:val="single" w:sz="4" w:space="0" w:color="000000"/>
            </w:tcBorders>
            <w:shd w:fill="FFFFCC" w:val="clear"/>
          </w:tcPr>
          <w:p>
            <w:pPr>
              <w:pStyle w:val="Normal"/>
              <w:ind w:start="-18" w:end="0"/>
              <w:rPr/>
            </w:pPr>
            <w:r>
              <w:rPr/>
              <w:t>713-853-0390</w:t>
            </w:r>
          </w:p>
        </w:tc>
      </w:tr>
      <w:tr>
        <w:trPr/>
        <w:tc>
          <w:tcPr>
            <w:tcW w:w="2070" w:type="dxa"/>
            <w:tcBorders>
              <w:start w:val="single" w:sz="4" w:space="0" w:color="000000"/>
            </w:tcBorders>
            <w:shd w:fill="FFFFCC" w:val="clear"/>
          </w:tcPr>
          <w:p>
            <w:pPr>
              <w:pStyle w:val="Normal"/>
              <w:ind w:start="-18" w:end="0"/>
              <w:rPr/>
            </w:pPr>
            <w:r>
              <w:rPr>
                <w:rFonts w:eastAsia="Arial"/>
              </w:rPr>
              <w:t xml:space="preserve"> </w:t>
            </w:r>
            <w:r>
              <w:rPr/>
              <w:t>Bruce Golden</w:t>
            </w:r>
          </w:p>
        </w:tc>
        <w:tc>
          <w:tcPr>
            <w:tcW w:w="2250" w:type="dxa"/>
            <w:tcBorders/>
            <w:shd w:fill="FFFFCC" w:val="clear"/>
          </w:tcPr>
          <w:p>
            <w:pPr>
              <w:pStyle w:val="Normal"/>
              <w:ind w:start="0" w:end="0"/>
              <w:rPr/>
            </w:pPr>
            <w:r>
              <w:rPr/>
              <w:t>General Manager</w:t>
            </w:r>
          </w:p>
        </w:tc>
        <w:tc>
          <w:tcPr>
            <w:tcW w:w="2250" w:type="dxa"/>
            <w:tcBorders/>
            <w:shd w:fill="FFFFCC" w:val="clear"/>
          </w:tcPr>
          <w:p>
            <w:pPr>
              <w:pStyle w:val="Normal"/>
              <w:ind w:start="-18" w:end="0"/>
              <w:rPr/>
            </w:pPr>
            <w:r>
              <w:rPr/>
              <w:t>Eng. &amp; Constr.</w:t>
            </w:r>
          </w:p>
        </w:tc>
        <w:tc>
          <w:tcPr>
            <w:tcW w:w="1710" w:type="dxa"/>
            <w:tcBorders>
              <w:end w:val="single" w:sz="4" w:space="0" w:color="000000"/>
            </w:tcBorders>
            <w:shd w:fill="FFFFCC" w:val="clear"/>
          </w:tcPr>
          <w:p>
            <w:pPr>
              <w:pStyle w:val="Normal"/>
              <w:ind w:start="-18" w:end="0"/>
              <w:rPr/>
            </w:pPr>
            <w:r>
              <w:rPr/>
              <w:t>713-646-6063</w:t>
            </w:r>
          </w:p>
        </w:tc>
      </w:tr>
      <w:tr>
        <w:trPr/>
        <w:tc>
          <w:tcPr>
            <w:tcW w:w="2070" w:type="dxa"/>
            <w:tcBorders>
              <w:start w:val="single" w:sz="4" w:space="0" w:color="000000"/>
              <w:bottom w:val="single" w:sz="12" w:space="0" w:color="000000"/>
            </w:tcBorders>
            <w:shd w:fill="FFFFCC" w:val="clear"/>
          </w:tcPr>
          <w:p>
            <w:pPr>
              <w:pStyle w:val="Normal"/>
              <w:ind w:start="-18" w:end="0"/>
              <w:rPr/>
            </w:pPr>
            <w:r>
              <w:rPr>
                <w:rFonts w:eastAsia="Arial"/>
              </w:rPr>
              <w:t xml:space="preserve"> </w:t>
            </w:r>
            <w:r>
              <w:rPr/>
              <w:t>Scot Chambers</w:t>
            </w:r>
          </w:p>
        </w:tc>
        <w:tc>
          <w:tcPr>
            <w:tcW w:w="2250" w:type="dxa"/>
            <w:tcBorders>
              <w:bottom w:val="single" w:sz="12" w:space="0" w:color="000000"/>
            </w:tcBorders>
            <w:shd w:fill="FFFFCC" w:val="clear"/>
          </w:tcPr>
          <w:p>
            <w:pPr>
              <w:pStyle w:val="Normal"/>
              <w:ind w:start="0" w:end="0"/>
              <w:rPr/>
            </w:pPr>
            <w:r>
              <w:rPr/>
              <w:t>Manger</w:t>
            </w:r>
          </w:p>
        </w:tc>
        <w:tc>
          <w:tcPr>
            <w:tcW w:w="2250" w:type="dxa"/>
            <w:tcBorders>
              <w:bottom w:val="single" w:sz="12" w:space="0" w:color="000000"/>
            </w:tcBorders>
            <w:shd w:fill="FFFFCC" w:val="clear"/>
          </w:tcPr>
          <w:p>
            <w:pPr>
              <w:pStyle w:val="Normal"/>
              <w:ind w:start="-18" w:end="0"/>
              <w:rPr/>
            </w:pPr>
            <w:r>
              <w:rPr/>
              <w:t>Operation &amp; Maint.</w:t>
            </w:r>
          </w:p>
        </w:tc>
        <w:tc>
          <w:tcPr>
            <w:tcW w:w="1710" w:type="dxa"/>
            <w:tcBorders>
              <w:bottom w:val="single" w:sz="12" w:space="0" w:color="000000"/>
              <w:end w:val="single" w:sz="4" w:space="0" w:color="000000"/>
            </w:tcBorders>
            <w:shd w:fill="FFFFCC" w:val="clear"/>
          </w:tcPr>
          <w:p>
            <w:pPr>
              <w:pStyle w:val="Normal"/>
              <w:ind w:start="-18" w:end="0"/>
              <w:rPr/>
            </w:pPr>
            <w:r>
              <w:rPr/>
              <w:t>713-646-8371</w:t>
            </w:r>
          </w:p>
          <w:p>
            <w:pPr>
              <w:pStyle w:val="Normal"/>
              <w:ind w:start="-18" w:end="0"/>
              <w:rPr/>
            </w:pPr>
            <w:r>
              <w:rPr/>
            </w:r>
          </w:p>
        </w:tc>
      </w:tr>
    </w:tbl>
    <w:p>
      <w:pPr>
        <w:pStyle w:val="Normal"/>
        <w:rPr/>
      </w:pPr>
      <w:r>
        <w:rPr/>
      </w:r>
      <w:r>
        <w:br w:type="page"/>
      </w:r>
    </w:p>
    <w:p>
      <w:pPr>
        <w:pStyle w:val="Normal"/>
        <w:rPr/>
      </w:pPr>
      <w:r>
        <w:rPr/>
      </w:r>
    </w:p>
    <w:p>
      <w:pPr>
        <w:pStyle w:val="Normal"/>
        <w:rPr/>
      </w:pPr>
      <w:r>
        <w:rPr/>
      </w:r>
    </w:p>
    <w:p>
      <w:pPr>
        <w:pStyle w:val="Heading2"/>
        <w:rPr/>
      </w:pPr>
      <w:bookmarkStart w:id="16" w:name="__RefHeading___Toc480103424"/>
      <w:bookmarkEnd w:id="16"/>
      <w:r>
        <w:rPr/>
        <w:t>LM6000 Brochure</w:t>
      </w:r>
    </w:p>
    <w:p>
      <w:pPr>
        <w:pStyle w:val="Normal"/>
        <w:rPr/>
      </w:pPr>
      <w:r>
        <w:rPr/>
        <w:t>See attachment</w:t>
      </w:r>
    </w:p>
    <w:p>
      <w:pPr>
        <w:pStyle w:val="Normal"/>
        <w:rPr/>
      </w:pPr>
      <w:r>
        <w:rPr/>
      </w:r>
    </w:p>
    <w:p>
      <w:pPr>
        <w:pStyle w:val="Heading2"/>
        <w:rPr/>
      </w:pPr>
      <w:bookmarkStart w:id="17" w:name="__RefHeading___Toc480103425"/>
      <w:bookmarkEnd w:id="17"/>
      <w:r>
        <w:rPr/>
        <w:t>Enron Power Brochure</w:t>
      </w:r>
    </w:p>
    <w:p>
      <w:pPr>
        <w:pStyle w:val="Normal"/>
        <w:rPr/>
      </w:pPr>
      <w:r>
        <w:rPr/>
        <w:t>See attachment</w:t>
      </w:r>
    </w:p>
    <w:p>
      <w:pPr>
        <w:pStyle w:val="Normal"/>
        <w:rPr/>
      </w:pPr>
      <w:r>
        <w:rPr/>
      </w:r>
    </w:p>
    <w:p>
      <w:pPr>
        <w:pStyle w:val="Heading2"/>
        <w:rPr/>
      </w:pPr>
      <w:bookmarkStart w:id="18" w:name="__RefHeading___Toc480103426"/>
      <w:bookmarkEnd w:id="18"/>
      <w:r>
        <w:rPr/>
        <w:t>Enron Corp. Annual Report</w:t>
      </w:r>
    </w:p>
    <w:p>
      <w:pPr>
        <w:pStyle w:val="Normal"/>
        <w:rPr/>
      </w:pPr>
      <w:r>
        <w:rPr/>
        <w:t>Enclosed</w:t>
      </w:r>
    </w:p>
    <w:p>
      <w:pPr>
        <w:pStyle w:val="Normal"/>
        <w:rPr/>
      </w:pPr>
      <w:r>
        <w:rPr/>
      </w:r>
    </w:p>
    <w:p>
      <w:pPr>
        <w:pStyle w:val="Normal"/>
        <w:ind w:start="0" w:end="0"/>
        <w:rPr/>
      </w:pPr>
      <w:r>
        <w:rPr/>
      </w:r>
      <w:r>
        <w:br w:type="page"/>
      </w:r>
    </w:p>
    <w:p>
      <w:pPr>
        <w:pStyle w:val="Normal"/>
        <w:rPr/>
      </w:pPr>
      <w:r>
        <w:rPr/>
      </w:r>
    </w:p>
    <w:p>
      <w:pPr>
        <w:pStyle w:val="Heading2"/>
        <w:rPr/>
      </w:pPr>
      <w:bookmarkStart w:id="19" w:name="__RefHeading___Toc480103427"/>
      <w:bookmarkEnd w:id="19"/>
      <w:r>
        <w:rPr/>
        <w:t>Disclaimer</w:t>
      </w:r>
    </w:p>
    <w:p>
      <w:pPr>
        <w:pStyle w:val="Normal"/>
        <w:jc w:val="both"/>
        <w:rPr>
          <w:i/>
          <w:i/>
        </w:rPr>
      </w:pPr>
      <w:r>
        <w:rPr>
          <w:i/>
        </w:rPr>
        <w:t>This Proposal is for discussion purposes only to facilitate the negotiation, preparation, and execution of definitive agreements relating to the Proposal.   This Proposal is subject to, in all respects, Enron’s and its affiliates’ and Dairyland Power Cooperative obtaining all requisite approvals and consents from all interested parties to consummate the Proposal.   This Proposal is not intended to create a binding or enforceable contract or commitment by either ENA, its affiliates or DPC. Consummation of any transaction is subject to, among other matters, the following conditions:  (i) receipt of all necessary or advisable regulatory or other approvals or consents, (ii) approval by the Boards of Directors of Enron and, if applicable, its affiliates, and (iii) negotiation, execution and delivery of definitive agreements relating to all aspects of the Proposal. While Enron North America Corp. is submitting this Proposal, certain of its proposed obligations herein may be assigned to, and performed by, various Enron Corp. affiliates.</w:t>
      </w:r>
    </w:p>
    <w:p>
      <w:pPr>
        <w:pStyle w:val="Normal"/>
        <w:rPr/>
      </w:pPr>
      <w:r>
        <w:rPr/>
      </w:r>
    </w:p>
    <w:sectPr>
      <w:footerReference w:type="default" r:id="rId9"/>
      <w:footerReference w:type="first" r:id="rId10"/>
      <w:footnotePr>
        <w:numFmt w:val="decimal"/>
      </w:footnotePr>
      <w:type w:val="nextPage"/>
      <w:pgSz w:w="12240" w:h="15840"/>
      <w:pgMar w:left="1800" w:right="1800" w:gutter="0" w:header="0" w:top="1440" w:footer="720" w:bottom="19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start="-360" w:end="0"/>
      <w:jc w:val="end"/>
      <w:rPr>
        <w:i/>
        <w:i/>
      </w:rPr>
    </w:pPr>
    <w:r>
      <w:object w:dxaOrig="2025" w:dyaOrig="17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8pt;margin-top:734.4pt;width:43.2pt;height:36.45pt;mso-wrap-distance-left:9.05pt;mso-wrap-distance-right:9.05pt;mso-position-horizontal-relative:text;mso-position-vertical-relative:page" filled="f" o:ole="">
          <v:imagedata r:id="rId2" o:title=""/>
          <w10:wrap type="topAndBottom"/>
        </v:shape>
        <o:OLEObject Type="Embed" ProgID="" ShapeID="ole_rId1" DrawAspect="Content" ObjectID="_1365691317" r:id="rId1"/>
      </w:object>
    </w:r>
    <w:r>
      <w:rPr>
        <w:i/>
      </w:rPr>
      <w:t>Request for Proposal No. 001</w:t>
    </w:r>
  </w:p>
  <w:p>
    <w:pPr>
      <w:pStyle w:val="Footer"/>
      <w:jc w:val="end"/>
      <w:rPr/>
    </w:pPr>
    <w:r>
      <w:rPr>
        <w:i/>
      </w:rPr>
      <w:t xml:space="preserve">Page </w:t>
    </w:r>
    <w:r>
      <w:rPr>
        <w:i/>
      </w:rPr>
      <w:fldChar w:fldCharType="begin"/>
    </w:r>
    <w:r>
      <w:rPr>
        <w:i/>
      </w:rPr>
      <w:instrText xml:space="preserve"> PAGE </w:instrText>
    </w:r>
    <w:r>
      <w:rPr>
        <w:i/>
      </w:rPr>
      <w:fldChar w:fldCharType="separate"/>
    </w:r>
    <w:r>
      <w:rPr>
        <w:i/>
      </w:rPr>
      <w:t>2</w:t>
    </w:r>
    <w:r>
      <w:rPr>
        <w:i/>
      </w:rPr>
      <w:fldChar w:fldCharType="end"/>
    </w:r>
    <w:r>
      <w:rPr>
        <w:i/>
      </w:rPr>
      <w:t xml:space="preserve"> of </w:t>
    </w:r>
    <w:r>
      <w:rPr>
        <w:i/>
      </w:rPr>
      <w:fldChar w:fldCharType="begin"/>
    </w:r>
    <w:r>
      <w:rPr>
        <w:i/>
      </w:rPr>
      <w:instrText xml:space="preserve"> NUMPAGES \* ARABIC </w:instrText>
    </w:r>
    <w:r>
      <w:rPr>
        <w:i/>
      </w:rPr>
      <w:fldChar w:fldCharType="separate"/>
    </w:r>
    <w:r>
      <w:rPr>
        <w:i/>
      </w:rPr>
      <w:t>11</w:t>
    </w:r>
    <w:r>
      <w:rPr>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start="-360" w:end="0"/>
      <w:jc w:val="end"/>
      <w:rPr>
        <w:i/>
        <w:i/>
      </w:rPr>
    </w:pPr>
    <w:r>
      <w:object w:dxaOrig="2025" w:dyaOrig="17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8pt;margin-top:734.4pt;width:43.2pt;height:36.45pt;mso-wrap-distance-left:9.05pt;mso-wrap-distance-right:9.05pt;mso-position-horizontal-relative:text;mso-position-vertical-relative:page" filled="f" o:ole="">
          <v:imagedata r:id="rId2" o:title=""/>
          <w10:wrap type="topAndBottom"/>
        </v:shape>
        <o:OLEObject Type="Embed" ProgID="" ShapeID="ole_rId1" DrawAspect="Content" ObjectID="_766576360" r:id="rId1"/>
      </w:object>
    </w:r>
    <w:r>
      <w:rPr>
        <w:i/>
      </w:rPr>
      <w:t>Request for Proposal No. 001</w:t>
    </w:r>
  </w:p>
  <w:p>
    <w:pPr>
      <w:pStyle w:val="Footer"/>
      <w:jc w:val="end"/>
      <w:rPr/>
    </w:pPr>
    <w:r>
      <w:rPr>
        <w:i/>
      </w:rPr>
      <w:t xml:space="preserve">Page </w:t>
    </w:r>
    <w:r>
      <w:rPr>
        <w:i/>
      </w:rPr>
      <w:fldChar w:fldCharType="begin"/>
    </w:r>
    <w:r>
      <w:rPr>
        <w:i/>
      </w:rPr>
      <w:instrText xml:space="preserve"> PAGE </w:instrText>
    </w:r>
    <w:r>
      <w:rPr>
        <w:i/>
      </w:rPr>
      <w:fldChar w:fldCharType="separate"/>
    </w:r>
    <w:r>
      <w:rPr>
        <w:i/>
      </w:rPr>
      <w:t>11</w:t>
    </w:r>
    <w:r>
      <w:rPr>
        <w:i/>
      </w:rPr>
      <w:fldChar w:fldCharType="end"/>
    </w:r>
    <w:r>
      <w:rPr>
        <w:i/>
      </w:rPr>
      <w:t xml:space="preserve"> of </w:t>
    </w:r>
    <w:r>
      <w:rPr>
        <w:i/>
      </w:rPr>
      <w:fldChar w:fldCharType="begin"/>
    </w:r>
    <w:r>
      <w:rPr>
        <w:i/>
      </w:rPr>
      <w:instrText xml:space="preserve"> NUMPAGES \* ARABIC </w:instrText>
    </w:r>
    <w:r>
      <w:rPr>
        <w:i/>
      </w:rPr>
      <w:fldChar w:fldCharType="separate"/>
    </w:r>
    <w:r>
      <w:rPr>
        <w:i/>
      </w:rPr>
      <w:t>11</w:t>
    </w:r>
    <w:r>
      <w:rPr>
        <w:i/>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Alternatively, the capacity could be installed at two sites. Developing 2 sites may achieve superior electrical and fuel interconnection economics. Overall project cost would increase in this scenario.</w:t>
      </w:r>
    </w:p>
  </w:footnote>
  <w:footnote w:id="3">
    <w:p>
      <w:pPr>
        <w:pStyle w:val="FootnoteText"/>
        <w:rPr/>
      </w:pPr>
      <w:r>
        <w:rPr>
          <w:rStyle w:val="FootnoteCharacters"/>
        </w:rPr>
        <w:footnoteRef/>
      </w:r>
      <w:r>
        <w:rPr/>
        <w:t xml:space="preserve"> </w:t>
      </w:r>
      <w:r>
        <w:rPr/>
        <w:t>NEPCO (an Enron Subsidiary) is a full service EPC contractor with significant experience installing LM6000’s. See attached brochure.</w:t>
      </w:r>
    </w:p>
  </w:footnote>
  <w:footnote w:id="4">
    <w:p>
      <w:pPr>
        <w:pStyle w:val="FootnoteText"/>
        <w:rPr/>
      </w:pPr>
      <w:r>
        <w:rPr>
          <w:rStyle w:val="FootnoteCharacters"/>
        </w:rPr>
        <w:footnoteRef/>
      </w:r>
      <w:r>
        <w:rPr/>
        <w:t xml:space="preserve"> </w:t>
      </w:r>
      <w:r>
        <w:rPr/>
        <w:t>These quantities are approximate and could be changed based on DPC’s needs.</w:t>
      </w:r>
    </w:p>
  </w:footnote>
  <w:footnote w:id="5">
    <w:p>
      <w:pPr>
        <w:pStyle w:val="FootnoteText"/>
        <w:rPr/>
      </w:pPr>
      <w:r>
        <w:rPr>
          <w:rStyle w:val="FootnoteCharacters"/>
        </w:rPr>
        <w:footnoteRef/>
      </w:r>
      <w:r>
        <w:rPr/>
        <w:t xml:space="preserve"> </w:t>
      </w:r>
      <w:r>
        <w:rPr/>
        <w:t>$544/kW is based on estimated capacity of the Plants of 90 MW.</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540" w:end="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spacing w:lineRule="auto" w:line="360" w:before="200" w:after="0"/>
      <w:ind w:hanging="540" w:start="540" w:end="0"/>
      <w:outlineLvl w:val="0"/>
    </w:pPr>
    <w:rPr>
      <w:b/>
      <w:sz w:val="32"/>
    </w:rPr>
  </w:style>
  <w:style w:type="paragraph" w:styleId="Heading2">
    <w:name w:val="heading 2"/>
    <w:basedOn w:val="Normal"/>
    <w:next w:val="Normal"/>
    <w:qFormat/>
    <w:pPr>
      <w:keepNext w:val="true"/>
      <w:numPr>
        <w:ilvl w:val="1"/>
        <w:numId w:val="1"/>
      </w:numPr>
      <w:tabs>
        <w:tab w:val="clear" w:pos="720"/>
        <w:tab w:val="left" w:pos="540" w:leader="none"/>
      </w:tabs>
      <w:spacing w:lineRule="auto" w:line="360"/>
      <w:ind w:hanging="547" w:start="547" w:end="0"/>
      <w:outlineLvl w:val="1"/>
    </w:pPr>
    <w:rPr>
      <w:b/>
      <w:sz w:val="24"/>
    </w:rPr>
  </w:style>
  <w:style w:type="paragraph" w:styleId="Heading3">
    <w:name w:val="heading 3"/>
    <w:basedOn w:val="Normal"/>
    <w:next w:val="Normal"/>
    <w:qFormat/>
    <w:pPr>
      <w:keepNext w:val="true"/>
      <w:numPr>
        <w:ilvl w:val="2"/>
        <w:numId w:val="1"/>
      </w:numPr>
      <w:tabs>
        <w:tab w:val="clear" w:pos="720"/>
        <w:tab w:val="left" w:pos="540" w:leader="none"/>
      </w:tabs>
      <w:spacing w:lineRule="auto" w:line="360"/>
      <w:ind w:hanging="187" w:start="540" w:end="0"/>
      <w:outlineLvl w:val="2"/>
    </w:pPr>
    <w:rPr>
      <w:b/>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widowControl w:val="false"/>
      <w:numPr>
        <w:ilvl w:val="4"/>
        <w:numId w:val="1"/>
      </w:numPr>
      <w:tabs>
        <w:tab w:val="clear" w:pos="720"/>
        <w:tab w:val="left" w:pos="1800" w:leader="none"/>
      </w:tabs>
      <w:outlineLvl w:val="4"/>
    </w:pPr>
    <w:rPr>
      <w:rFonts w:ascii="Times New Roman" w:hAnsi="Times New Roman" w:cs="Times New Roman"/>
      <w:sz w:val="22"/>
    </w:rPr>
  </w:style>
  <w:style w:type="paragraph" w:styleId="Heading6">
    <w:name w:val="heading 6"/>
    <w:basedOn w:val="Normal"/>
    <w:next w:val="Normal"/>
    <w:qFormat/>
    <w:pPr>
      <w:widowControl w:val="false"/>
      <w:numPr>
        <w:ilvl w:val="5"/>
        <w:numId w:val="1"/>
      </w:numPr>
      <w:outlineLvl w:val="5"/>
    </w:pPr>
    <w:rPr>
      <w:rFonts w:ascii="Times New Roman" w:hAnsi="Times New Roman" w:cs="Times New Roman"/>
      <w:i/>
      <w:sz w:val="22"/>
    </w:rPr>
  </w:style>
  <w:style w:type="paragraph" w:styleId="Heading7">
    <w:name w:val="heading 7"/>
    <w:basedOn w:val="Normal"/>
    <w:next w:val="Normal"/>
    <w:qFormat/>
    <w:pPr>
      <w:widowControl w:val="false"/>
      <w:numPr>
        <w:ilvl w:val="6"/>
        <w:numId w:val="1"/>
      </w:numPr>
      <w:spacing w:before="240" w:after="60"/>
      <w:outlineLvl w:val="6"/>
    </w:pPr>
    <w:rPr>
      <w:rFonts w:ascii="HELVETICA" w:hAnsi="HELVETICA" w:cs="HELVETICA"/>
    </w:rPr>
  </w:style>
  <w:style w:type="paragraph" w:styleId="Heading8">
    <w:name w:val="heading 8"/>
    <w:basedOn w:val="Normal"/>
    <w:next w:val="Normal"/>
    <w:qFormat/>
    <w:pPr>
      <w:widowControl w:val="false"/>
      <w:numPr>
        <w:ilvl w:val="7"/>
        <w:numId w:val="1"/>
      </w:numPr>
      <w:spacing w:before="240" w:after="60"/>
      <w:outlineLvl w:val="7"/>
    </w:pPr>
    <w:rPr>
      <w:rFonts w:ascii="HELVETICA" w:hAnsi="HELVETICA" w:cs="HELVETICA"/>
      <w:i/>
    </w:rPr>
  </w:style>
  <w:style w:type="paragraph" w:styleId="Heading9">
    <w:name w:val="heading 9"/>
    <w:basedOn w:val="Normal"/>
    <w:next w:val="Normal"/>
    <w:qFormat/>
    <w:pPr>
      <w:widowControl w:val="false"/>
      <w:numPr>
        <w:ilvl w:val="8"/>
        <w:numId w:val="1"/>
      </w:numPr>
      <w:spacing w:before="240" w:after="60"/>
      <w:outlineLvl w:val="8"/>
    </w:pPr>
    <w:rPr>
      <w:rFonts w:ascii="HELVETICA" w:hAnsi="HELVETICA" w:cs="HELVETICA"/>
      <w:b/>
      <w:i/>
      <w:sz w:val="18"/>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St5z0">
    <w:name w:val="WW8NumSt5z0"/>
    <w:qFormat/>
    <w:rPr>
      <w:rFonts w:ascii="Times New Roman" w:hAnsi="Times New Roman" w:cs="Times New Roman"/>
      <w:sz w:val="4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 w:leader="none"/>
        <w:tab w:val="right" w:pos="8630" w:leader="underscore"/>
      </w:tabs>
      <w:spacing w:before="120" w:after="0"/>
      <w:ind w:hanging="0" w:start="360" w:end="0"/>
    </w:pPr>
    <w:rPr>
      <w:b/>
      <w:sz w:val="24"/>
      <w:lang w:val="en-CA"/>
    </w:rPr>
  </w:style>
  <w:style w:type="paragraph" w:styleId="TOC2">
    <w:name w:val="toc 2"/>
    <w:basedOn w:val="Normal"/>
    <w:next w:val="Normal"/>
    <w:pPr>
      <w:tabs>
        <w:tab w:val="clear" w:pos="720"/>
        <w:tab w:val="left" w:pos="1440" w:leader="none"/>
        <w:tab w:val="right" w:pos="8630" w:leader="underscore"/>
      </w:tabs>
      <w:spacing w:before="120" w:after="0"/>
      <w:ind w:hanging="0" w:start="900" w:end="0"/>
    </w:pPr>
    <w:rPr>
      <w:sz w:val="24"/>
      <w:lang w:val="en-CA"/>
    </w:rPr>
  </w:style>
  <w:style w:type="paragraph" w:styleId="TOC3">
    <w:name w:val="toc 3"/>
    <w:basedOn w:val="Normal"/>
    <w:next w:val="Normal"/>
    <w:pPr>
      <w:tabs>
        <w:tab w:val="clear" w:pos="720"/>
        <w:tab w:val="left" w:pos="2160" w:leader="none"/>
        <w:tab w:val="right" w:pos="8640" w:leader="underscore"/>
      </w:tabs>
      <w:ind w:hanging="0" w:start="1440" w:end="0"/>
    </w:pPr>
    <w:rPr>
      <w:sz w:val="24"/>
      <w:lang w:val="en-CA"/>
    </w:rPr>
  </w:style>
  <w:style w:type="paragraph" w:styleId="BodyTextIndent2">
    <w:name w:val="Body Text Indent 2"/>
    <w:basedOn w:val="Normal"/>
    <w:qFormat/>
    <w:pPr>
      <w:ind w:hanging="0" w:start="360" w:end="0"/>
    </w:pPr>
    <w:rPr>
      <w:sz w:val="24"/>
    </w:rPr>
  </w:style>
  <w:style w:type="paragraph" w:styleId="BodyTextIndent">
    <w:name w:val="Body Text Indent"/>
    <w:basedOn w:val="Normal"/>
    <w:pPr>
      <w:ind w:hanging="0" w:start="540" w:end="0"/>
    </w:pPr>
    <w:rPr>
      <w:sz w:val="24"/>
    </w:rPr>
  </w:style>
  <w:style w:type="paragraph" w:styleId="BodyText2">
    <w:name w:val="Body Text 2"/>
    <w:basedOn w:val="Normal"/>
    <w:qFormat/>
    <w:pPr>
      <w:ind w:hanging="0" w:start="540" w:end="0"/>
    </w:pPr>
    <w:rPr>
      <w:sz w:val="24"/>
    </w:rPr>
  </w:style>
  <w:style w:type="paragraph" w:styleId="BodyTextIndent3">
    <w:name w:val="Body Text Indent 3"/>
    <w:basedOn w:val="Normal"/>
    <w:qFormat/>
    <w:pPr>
      <w:ind w:hanging="0" w:start="5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9">
    <w:name w:val="toc 9"/>
    <w:basedOn w:val="Normal"/>
    <w:next w:val="Normal"/>
    <w:pPr>
      <w:ind w:hanging="0" w:start="1600" w:end="0"/>
    </w:pPr>
    <w:rPr>
      <w:rFonts w:ascii="Times New Roman" w:hAnsi="Times New Roman" w:cs="Times New Roman"/>
      <w:sz w:val="24"/>
    </w:rPr>
  </w:style>
  <w:style w:type="paragraph" w:styleId="BodyText3">
    <w:name w:val="Body Text 3"/>
    <w:basedOn w:val="Normal"/>
    <w:qFormat/>
    <w:pPr/>
    <w:rPr>
      <w:sz w:val="24"/>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3.jpeg"/><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2.png"/>
</Relationships>
</file>

<file path=word/_rels/footer4.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2000-04-11T18:13:00Z</dcterms:created>
  <dc:creator>Michael Danielson</dc:creator>
  <dc:description/>
  <dc:language>en-CA</dc:language>
  <cp:lastModifiedBy>Russell Porter</cp:lastModifiedBy>
  <cp:lastPrinted>2000-04-20T17:32:00Z</cp:lastPrinted>
  <dcterms:modified xsi:type="dcterms:W3CDTF">2000-04-21T12:18:00Z</dcterms:modified>
  <cp:revision>23</cp:revision>
  <dc:subject/>
  <dc:title>Partial Requirements Proposal</dc:title>
</cp:coreProperties>
</file>