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19, 2000</w:t>
      </w:r>
    </w:p>
    <w:p>
      <w:pPr>
        <w:pStyle w:val="Normal"/>
        <w:rPr/>
      </w:pPr>
      <w:r>
        <w:rPr/>
      </w:r>
    </w:p>
    <w:p>
      <w:pPr>
        <w:pStyle w:val="Normal"/>
        <w:rPr/>
      </w:pPr>
      <w:r>
        <w:rPr/>
        <w:t>To: Jim Hughes</w:t>
      </w:r>
    </w:p>
    <w:p>
      <w:pPr>
        <w:pStyle w:val="Normal"/>
        <w:rPr/>
      </w:pPr>
      <w:r>
        <w:rPr>
          <w:rFonts w:eastAsia="Arial"/>
        </w:rPr>
        <w:t xml:space="preserve"> </w:t>
      </w:r>
      <w:r>
        <w:rPr/>
        <w:t>Cc: Rick Bergsieker</w:t>
      </w:r>
    </w:p>
    <w:p>
      <w:pPr>
        <w:pStyle w:val="Normal"/>
        <w:rPr/>
      </w:pPr>
      <w:r>
        <w:rPr/>
      </w:r>
    </w:p>
    <w:p>
      <w:pPr>
        <w:pStyle w:val="Normal"/>
        <w:rPr/>
      </w:pPr>
      <w:r>
        <w:rPr/>
        <w:t>From: Clay Harris</w:t>
      </w:r>
    </w:p>
    <w:p>
      <w:pPr>
        <w:pStyle w:val="Normal"/>
        <w:rPr/>
      </w:pPr>
      <w:r>
        <w:rPr/>
      </w:r>
    </w:p>
    <w:p>
      <w:pPr>
        <w:pStyle w:val="Normal"/>
        <w:rPr/>
      </w:pPr>
      <w:r>
        <w:rPr/>
        <w:t xml:space="preserve">Subject: DPC Supply Mitigation. </w:t>
      </w:r>
    </w:p>
    <w:p>
      <w:pPr>
        <w:pStyle w:val="Normal"/>
        <w:rPr/>
      </w:pPr>
      <w:r>
        <w:rPr/>
      </w:r>
    </w:p>
    <w:p>
      <w:pPr>
        <w:pStyle w:val="Normal"/>
        <w:rPr/>
      </w:pPr>
      <w:r>
        <w:rPr/>
      </w:r>
    </w:p>
    <w:p>
      <w:pPr>
        <w:pStyle w:val="Normal"/>
        <w:rPr/>
      </w:pPr>
      <w:r>
        <w:rPr/>
        <w:t xml:space="preserve">The LNG Team has been evaluating various options to mitigate DPC’s take-or-pay exposure under the Oman LNG and Adgas Sales and Purchase Agreements.  Both SPAs are between the LNG supplier and DPC and there are no Enron performance guarantees. The OLNG SPA has broad diversion rights while the Adgas SPA has more limited diversion rights. The take-or-pay exposure under both contracts is with DPC/MSEB and not Enron. If the PPA is terminated both LNG contracts novate to MSEB. The purpose for Enron to step in and assist in mitigating the supply problems are to: 1) protect Enron’s equity in DPC, and 2) protect EGM’s relationship with Oman LNG and Adgas and Enron’s reputation in the LNG industry. </w:t>
      </w:r>
    </w:p>
    <w:p>
      <w:pPr>
        <w:pStyle w:val="Normal"/>
        <w:rPr/>
      </w:pPr>
      <w:r>
        <w:rPr/>
      </w:r>
    </w:p>
    <w:p>
      <w:pPr>
        <w:pStyle w:val="Normal"/>
        <w:rPr/>
      </w:pPr>
      <w:r>
        <w:rPr/>
        <w:t xml:space="preserve">Both suppliers have been advised of the issues at Dabhol and have indicated a willingness to work with Enron in resolving these issues on the basis that these agreements are long-term arrangements and it is in their interests for the transaction to survive.  Oman LNG understands that Enron is not the contracting party but is actively seeking solutions in order to protect its equity in DPC. Both suppliers look to Enron to provide commercial proposals to best resolve the supply issues. </w:t>
      </w:r>
    </w:p>
    <w:p>
      <w:pPr>
        <w:pStyle w:val="Normal"/>
        <w:rPr/>
      </w:pPr>
      <w:r>
        <w:rPr/>
      </w:r>
    </w:p>
    <w:p>
      <w:pPr>
        <w:pStyle w:val="Normal"/>
        <w:rPr/>
      </w:pPr>
      <w:r>
        <w:rPr/>
        <w:t>Attachment I assumes Power Block C is deferred for a period of four years and Blocks A and B operate at an 80% plant load factor. The key LNG supply related assumptions are: (Another case assuming only Power Block A is operational is described in Attachment II.)</w:t>
      </w:r>
    </w:p>
    <w:p>
      <w:pPr>
        <w:pStyle w:val="Normal"/>
        <w:rPr/>
      </w:pPr>
      <w:r>
        <w:rPr/>
      </w:r>
    </w:p>
    <w:p>
      <w:pPr>
        <w:pStyle w:val="Normal"/>
        <w:numPr>
          <w:ilvl w:val="0"/>
          <w:numId w:val="1"/>
        </w:numPr>
        <w:rPr/>
      </w:pPr>
      <w:r>
        <w:rPr/>
        <w:t>Full exercise of the downward quantity provisions under both SPAs.</w:t>
      </w:r>
    </w:p>
    <w:p>
      <w:pPr>
        <w:pStyle w:val="Normal"/>
        <w:numPr>
          <w:ilvl w:val="0"/>
          <w:numId w:val="1"/>
        </w:numPr>
        <w:rPr/>
      </w:pPr>
      <w:r>
        <w:rPr/>
        <w:t>Divert quantities to the US market.</w:t>
      </w:r>
    </w:p>
    <w:p>
      <w:pPr>
        <w:pStyle w:val="Normal"/>
        <w:numPr>
          <w:ilvl w:val="0"/>
          <w:numId w:val="1"/>
        </w:numPr>
        <w:rPr/>
      </w:pPr>
      <w:r>
        <w:rPr/>
        <w:t xml:space="preserve">Long term access to Lake Charles terminal (at the current configuration LNG from Oman will not meet the quality specifications at Elba). </w:t>
      </w:r>
    </w:p>
    <w:p>
      <w:pPr>
        <w:pStyle w:val="Normal"/>
        <w:rPr/>
      </w:pPr>
      <w:r>
        <w:rPr/>
      </w:r>
    </w:p>
    <w:p>
      <w:pPr>
        <w:pStyle w:val="Normal"/>
        <w:rPr/>
      </w:pPr>
      <w:r>
        <w:rPr/>
        <w:t xml:space="preserve">In each contract year the Lakshmi delivers 7 cargoes a year to Lake Charles and the Hoegh Galleon delivers the balance of the Oman and Adgas contractual commitments, net of the downward quantity adjustments, to Dabhol. </w:t>
      </w:r>
    </w:p>
    <w:p>
      <w:pPr>
        <w:pStyle w:val="Normal"/>
        <w:rPr/>
      </w:pPr>
      <w:r>
        <w:rPr/>
      </w:r>
    </w:p>
    <w:p>
      <w:pPr>
        <w:pStyle w:val="Normal"/>
        <w:rPr/>
      </w:pPr>
      <w:r>
        <w:rPr/>
        <w:t>The key results of this scenario are as follows:</w:t>
      </w:r>
    </w:p>
    <w:p>
      <w:pPr>
        <w:pStyle w:val="Normal"/>
        <w:rPr/>
      </w:pPr>
      <w:r>
        <w:rPr/>
      </w:r>
    </w:p>
    <w:p>
      <w:pPr>
        <w:pStyle w:val="Normal"/>
        <w:numPr>
          <w:ilvl w:val="0"/>
          <w:numId w:val="2"/>
        </w:numPr>
        <w:rPr/>
      </w:pPr>
      <w:r>
        <w:rPr/>
        <w:t>DPC diverted quantities cannot clear the US market from 2002-06 based on the current forward curves for Brent and NYMEX Gas.</w:t>
      </w:r>
    </w:p>
    <w:p>
      <w:pPr>
        <w:pStyle w:val="Normal"/>
        <w:numPr>
          <w:ilvl w:val="0"/>
          <w:numId w:val="2"/>
        </w:numPr>
        <w:rPr>
          <w:b/>
        </w:rPr>
      </w:pPr>
      <w:r>
        <w:rPr/>
        <w:t xml:space="preserve">The potential exposure is approximately $20 million in 2002 and approximately $29 per year thereafter. </w:t>
      </w:r>
      <w:r>
        <w:rPr>
          <w:b/>
        </w:rPr>
        <w:t>This level of exposure assumes that MSEB pays for shipping at the Lakshmi rate and the balance remaining after payment of Hoegh Galleon actual costs, which include EGM’s shipping and merchant margins, is credited to Enron.</w:t>
      </w:r>
    </w:p>
    <w:p>
      <w:pPr>
        <w:pStyle w:val="Normal"/>
        <w:rPr>
          <w:b/>
        </w:rPr>
      </w:pPr>
      <w:r>
        <w:rPr>
          <w:b/>
        </w:rPr>
      </w:r>
    </w:p>
    <w:p>
      <w:pPr>
        <w:pStyle w:val="Normal"/>
        <w:rPr/>
      </w:pPr>
      <w:r>
        <w:rPr/>
        <w:t xml:space="preserve">While these are the base assumptions for this initial analysis, there are other factors that could substantially change the results. Among them is that there is another Indian market (i.e. Metgas customers) or another European market (i.e. Spain or Turkey) that could absorb the DPC excess quantities. Another is whether Enron assumes that there is an “opportunity cost” associated with using its vessels (the Hoegh Galleon and/or the Excalibur) to transport DPC mitigation quantities to the US. With respect to diversion to the US market, natural gas prices and terminal access will play a key role in determining if the diverted quantities can clear the market. Our general estimate is that at a $25.00/bbl price for Brent crude (which correlates with JCC), a Henry Hub gas price exceeding $6.75/mmbtu is required in addition to regas rates at the current level. </w:t>
      </w:r>
    </w:p>
    <w:p>
      <w:pPr>
        <w:pStyle w:val="Normal"/>
        <w:rPr/>
      </w:pPr>
      <w:r>
        <w:rPr/>
      </w:r>
    </w:p>
    <w:p>
      <w:pPr>
        <w:pStyle w:val="Normal"/>
        <w:rPr/>
      </w:pPr>
      <w:r>
        <w:rPr/>
        <w:t xml:space="preserve">Our view is that further discussions are required in India with MSEB, DPC shareholders, and lenders before any detail proposals are made to Oman LNG or Adgas. The contractual start dates have been extended until early 2002, the maximum extent possible under the SPAs. This allows us a full year to revise/renegotiate the SPAs. Both suppliers are accustomed to working with their long-term buyers to work our “start up” problems. This does not mean that substantial negotiation of the contracts will be easy, but that OLNG and Adgas will seriously consider our proposals. We feel that in order to be successful with the LNG suppliers Enron must have a clear mitigation strategy that is seen as balanced and achievable.  One area that Oman LNG and Adgas will focus on is whether DPC, MSEB, and the Governments of India and Maharashtra are sharing some of the pain and whether GOM and GOI support the mitigation plan. </w:t>
      </w:r>
    </w:p>
    <w:p>
      <w:pPr>
        <w:pStyle w:val="Normal"/>
        <w:rPr>
          <w:rFonts w:eastAsia="Arial"/>
        </w:rPr>
      </w:pPr>
      <w:r>
        <w:rPr>
          <w:rFonts w:eastAsia="Arial"/>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2000-12-19T06:55:00Z</dcterms:created>
  <dc:creator>Clay Harris</dc:creator>
  <dc:description/>
  <dc:language>en-CA</dc:language>
  <cp:lastModifiedBy>Clay Harris</cp:lastModifiedBy>
  <cp:lastPrinted>2000-12-19T18:07:00Z</cp:lastPrinted>
  <dcterms:modified xsi:type="dcterms:W3CDTF">2000-12-19T12:20:00Z</dcterms:modified>
  <cp:revision>9</cp:revision>
  <dc:subject/>
  <dc:title/>
</cp:coreProperties>
</file>