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The Dabhol Project</w:t>
      </w:r>
    </w:p>
    <w:p>
      <w:pPr>
        <w:pStyle w:val="BodyText"/>
        <w:rPr/>
      </w:pPr>
      <w:r>
        <w:rPr/>
      </w:r>
    </w:p>
    <w:p>
      <w:pPr>
        <w:pStyle w:val="BodyText"/>
        <w:rPr/>
      </w:pPr>
      <w:r>
        <w:rPr/>
        <w:t>Dabhol Phase II, already 80% complete, is scheduled for commissioning at the end of 2001.  In early 2002, the LNG facility will be complete, facilitating the conversion of the entire project to gas.  When completed, this project will bring on-line an additional 1,440 MW of capacity, nearly tripling the already operational 730 MW of Phase I.  This addition will come in two blocks, called Blocks B and C, Block A being the one currently under operation.</w:t>
      </w:r>
    </w:p>
    <w:p>
      <w:pPr>
        <w:pStyle w:val="Normal"/>
        <w:spacing w:lineRule="atLeast" w:line="240"/>
        <w:ind w:start="810" w:end="-360"/>
        <w:rPr>
          <w:color w:val="000000"/>
          <w:lang w:eastAsia="en-US"/>
        </w:rPr>
      </w:pPr>
      <w:r>
        <w:rPr>
          <w:color w:val="000000"/>
          <w:lang w:eastAsia="en-US"/>
        </w:rPr>
        <w:t xml:space="preserve">When completed, DPC will be the world's largest gas fired power plant, and already represents the largest foreign investment in India.  DPC will house India's first LNG terminal, and will make Dabhol the gateway to providing clean reliable energy for all of western India.  With declining gas reserves in Bombay High, having an LNG terminal on the west coast will mean that industries already established will have a reliable fuel to shift to, and new industries can also locate in the region.  The Konkan Railway is already operational, and the availability of power and later gas will further stimulate development of the Konkan region.  </w:t>
      </w:r>
    </w:p>
    <w:p>
      <w:pPr>
        <w:pStyle w:val="Normal"/>
        <w:spacing w:lineRule="atLeast" w:line="240"/>
        <w:ind w:start="810" w:end="-360"/>
        <w:rPr>
          <w:color w:val="000000"/>
          <w:lang w:eastAsia="en-US"/>
        </w:rPr>
      </w:pPr>
      <w:r>
        <w:rPr>
          <w:color w:val="000000"/>
          <w:lang w:eastAsia="en-US"/>
        </w:rPr>
      </w:r>
    </w:p>
    <w:p>
      <w:pPr>
        <w:pStyle w:val="Heading6"/>
        <w:rPr/>
      </w:pPr>
      <w:r>
        <w:rPr/>
        <w:t>The DPC Tariff</w:t>
      </w:r>
    </w:p>
    <w:p>
      <w:pPr>
        <w:pStyle w:val="Normal"/>
        <w:spacing w:lineRule="atLeast" w:line="240"/>
        <w:ind w:start="810" w:end="-360"/>
        <w:rPr>
          <w:color w:val="000000"/>
          <w:lang w:eastAsia="en-US"/>
        </w:rPr>
      </w:pPr>
      <w:r>
        <w:rPr>
          <w:color w:val="000000"/>
          <w:lang w:eastAsia="en-US"/>
        </w:rPr>
      </w:r>
    </w:p>
    <w:p>
      <w:pPr>
        <w:pStyle w:val="Normal"/>
        <w:numPr>
          <w:ilvl w:val="0"/>
          <w:numId w:val="3"/>
        </w:numPr>
        <w:tabs>
          <w:tab w:val="clear" w:pos="720"/>
          <w:tab w:val="left" w:pos="1170" w:leader="none"/>
        </w:tabs>
        <w:spacing w:lineRule="atLeast" w:line="240"/>
        <w:ind w:hanging="360" w:start="1170" w:end="-360"/>
        <w:rPr>
          <w:color w:val="000000"/>
          <w:lang w:eastAsia="en-US"/>
        </w:rPr>
      </w:pPr>
      <w:r>
        <w:rPr>
          <w:color w:val="000000"/>
          <w:lang w:eastAsia="en-US"/>
        </w:rPr>
        <w:t>The tariff is comprised of a fixed Capacity Charge and a variable Energy Charge.  The Capacity Charge covers the fixed costs that include return on investment (equity and debt).  The Energy Charge varies with fuel price, and dispatch of the plant.  It is meant to cover fuel costs and some other variable charges.</w:t>
        <w:br/>
      </w:r>
    </w:p>
    <w:p>
      <w:pPr>
        <w:pStyle w:val="Normal"/>
        <w:numPr>
          <w:ilvl w:val="0"/>
          <w:numId w:val="3"/>
        </w:numPr>
        <w:tabs>
          <w:tab w:val="clear" w:pos="720"/>
          <w:tab w:val="left" w:pos="1170" w:leader="none"/>
        </w:tabs>
        <w:spacing w:lineRule="atLeast" w:line="240"/>
        <w:ind w:hanging="360" w:start="1170" w:end="-360"/>
        <w:rPr>
          <w:color w:val="000000"/>
          <w:lang w:eastAsia="en-US"/>
        </w:rPr>
      </w:pPr>
      <w:r>
        <w:rPr>
          <w:color w:val="000000"/>
          <w:lang w:eastAsia="en-US"/>
        </w:rPr>
        <w:t xml:space="preserve">The amount of the Capacity Charge is tied into an annual plant availability of 90%.  DPC is penalized for not reaching that availability level.  This penalty is a one-to-one loss of capacity payment for the first 4% shortfall in availability, and doubles after that.  Such a penalty structure does not exist in any other IPP project in India.  </w:t>
        <w:br/>
      </w:r>
    </w:p>
    <w:p>
      <w:pPr>
        <w:pStyle w:val="Normal"/>
        <w:numPr>
          <w:ilvl w:val="0"/>
          <w:numId w:val="3"/>
        </w:numPr>
        <w:tabs>
          <w:tab w:val="clear" w:pos="720"/>
          <w:tab w:val="left" w:pos="1170" w:leader="none"/>
        </w:tabs>
        <w:spacing w:lineRule="atLeast" w:line="240"/>
        <w:ind w:hanging="360" w:start="1170" w:end="-360"/>
        <w:rPr>
          <w:color w:val="000000"/>
          <w:lang w:eastAsia="en-US"/>
        </w:rPr>
      </w:pPr>
      <w:r>
        <w:rPr>
          <w:color w:val="000000"/>
          <w:lang w:eastAsia="en-US"/>
        </w:rPr>
        <w:t>Effect of various factors on DPC’s per unit tariff:</w:t>
        <w:br/>
      </w:r>
    </w:p>
    <w:p>
      <w:pPr>
        <w:pStyle w:val="Normal"/>
        <w:numPr>
          <w:ilvl w:val="0"/>
          <w:numId w:val="2"/>
        </w:numPr>
        <w:tabs>
          <w:tab w:val="clear" w:pos="720"/>
          <w:tab w:val="left" w:pos="1530" w:leader="none"/>
        </w:tabs>
        <w:spacing w:lineRule="atLeast" w:line="240"/>
        <w:ind w:hanging="360" w:start="1530" w:end="-360"/>
        <w:rPr>
          <w:b/>
          <w:color w:val="000000"/>
          <w:lang w:eastAsia="en-US"/>
        </w:rPr>
      </w:pPr>
      <w:r>
        <w:rPr>
          <w:b/>
          <w:color w:val="000000"/>
          <w:lang w:eastAsia="en-US"/>
        </w:rPr>
        <w:t>Fuel Cost:</w:t>
      </w:r>
      <w:r>
        <w:rPr>
          <w:color w:val="000000"/>
          <w:lang w:eastAsia="en-US"/>
        </w:rPr>
        <w:t xml:space="preserve">  </w:t>
        <w:br/>
        <w:t xml:space="preserve">This has been a very large factor in 1999-2000, during which period the plant operated on naphtha.  International crude prices (Brent) were $15/barrel in May, 1999, and became $33/barrel in September 2000.  DPC’s per unit fuel prices correspondingly showed an increase from Rs. 1.44/unit to Rs. 3.18/unit.  A part of this increase was the result of price increases in the international market, but this was made worse by the ad-valorem import duty of 21.8% levied on naphtha imports.  Since the commodity price increased, the duty was levied on a larger base.  This increase resulted in about $20/ton incremental duty being paid on naphtha being imported at peak prices, versus when the prices were at their lowest over the period. </w:t>
        <w:br/>
      </w:r>
    </w:p>
    <w:p>
      <w:pPr>
        <w:pStyle w:val="Normal"/>
        <w:numPr>
          <w:ilvl w:val="0"/>
          <w:numId w:val="2"/>
        </w:numPr>
        <w:tabs>
          <w:tab w:val="clear" w:pos="720"/>
          <w:tab w:val="left" w:pos="1530" w:leader="none"/>
        </w:tabs>
        <w:spacing w:lineRule="atLeast" w:line="240"/>
        <w:ind w:hanging="360" w:start="1530" w:end="-360"/>
        <w:rPr>
          <w:color w:val="000000"/>
          <w:lang w:eastAsia="en-US"/>
        </w:rPr>
      </w:pPr>
      <w:r>
        <w:rPr>
          <w:b/>
          <w:color w:val="000000"/>
          <w:lang w:eastAsia="en-US"/>
        </w:rPr>
        <w:t>Level of Dispatch:</w:t>
      </w:r>
      <w:r>
        <w:rPr>
          <w:color w:val="000000"/>
          <w:lang w:eastAsia="en-US"/>
        </w:rPr>
        <w:br/>
        <w:t>DPC was meant to be a plant that was to be dispatched as a baseload unit.  Hence the clause for 90% availability linked to Capacity Charge.  At a 90% level of dispatch, the Capacity Charge is an optimal Rs. 1.88/unit.  However, if the plant is operated at a 50% dispatch level, the per unit Capacity Charge becomes Rs. 3.38, and further increases to Rs. 5.12/unit at a 33% dispatch level.  Hence, if we actually use the plant in the manner in which it was designed, the per unit tariff will be lower, and we will be able to service the power needs of a greater number of people.  Keeping the plant under-utilized means that we still have to pay for the plant on a much smaller base of dispatch.</w:t>
        <w:br/>
      </w:r>
    </w:p>
    <w:p>
      <w:pPr>
        <w:pStyle w:val="Normal"/>
        <w:numPr>
          <w:ilvl w:val="0"/>
          <w:numId w:val="2"/>
        </w:numPr>
        <w:tabs>
          <w:tab w:val="clear" w:pos="720"/>
          <w:tab w:val="left" w:pos="1530" w:leader="none"/>
        </w:tabs>
        <w:spacing w:lineRule="atLeast" w:line="240"/>
        <w:ind w:hanging="360" w:start="1530" w:end="-360"/>
        <w:rPr>
          <w:color w:val="000000"/>
          <w:lang w:eastAsia="en-US"/>
        </w:rPr>
      </w:pPr>
      <w:r>
        <w:rPr>
          <w:b/>
          <w:color w:val="000000"/>
          <w:lang w:eastAsia="en-US"/>
        </w:rPr>
        <w:t>Level of Dollar Funding of the Project:</w:t>
        <w:br/>
      </w:r>
      <w:r>
        <w:rPr>
          <w:color w:val="000000"/>
          <w:lang w:eastAsia="en-US"/>
        </w:rPr>
        <w:t>Contrary to popular belief, the effect of the partial linking of Capacity Charges to the Rupee-Dollar exchange rate does not have a dramatic effect on the Dabhol tariff.  This linkage is due to the portion of Dollar loans in the project.  Over the last one year, the increase in fixed capacity charge on account of Rupee depreciation has been less than 15 paise/unit.  The reason for this is that the cost of Dollar loans is in the range of 9-10%, while Rupee loans cost between 16-17% per annum.  Hence, so long as the Rupee depreciation is between 6-7% (the difference between the two rates), any increase in capacity charge on account of Rupee depreciation will be compensated for by the lower interest rate.</w:t>
        <w:br/>
      </w:r>
    </w:p>
    <w:p>
      <w:pPr>
        <w:pStyle w:val="BlockText"/>
        <w:rPr/>
      </w:pPr>
      <w:r>
        <w:rPr/>
        <w:t xml:space="preserve">DPC’s average tariff at 90% despatch has been Rs. 4.02/unit for Phase I.  With the coming of Phase II and the switching of fuel to LNG, this is likely to go down to Rs. 3.30-3.70/unit.  Compare this with NTPC's own Kayamkulam plant having a tariff of Rs.3.32 - 4.01 for same range of crude prices ($21-28/barrel).  Thus DPC’s tariff is competitive with any new combined cycle plant built during the same period.  The key is to </w:t>
      </w:r>
      <w:r>
        <w:rPr>
          <w:b/>
        </w:rPr>
        <w:t>dispatch the plant as a baseload unit</w:t>
      </w:r>
      <w:r>
        <w:rPr/>
        <w:t xml:space="preserve">, and to find a method to manage and </w:t>
      </w:r>
      <w:r>
        <w:rPr>
          <w:b/>
        </w:rPr>
        <w:t>minimize fuel costs</w:t>
      </w:r>
      <w:r>
        <w:rPr/>
        <w:t>.</w:t>
      </w:r>
    </w:p>
    <w:p>
      <w:pPr>
        <w:pStyle w:val="BlockText"/>
        <w:rPr/>
      </w:pPr>
      <w:r>
        <w:rPr/>
      </w:r>
    </w:p>
    <w:p>
      <w:pPr>
        <w:pStyle w:val="BlockText"/>
        <w:rPr>
          <w:b/>
        </w:rPr>
      </w:pPr>
      <w:r>
        <w:rPr>
          <w:b/>
        </w:rPr>
        <w:t>MSEB’s Ability to Pay</w:t>
      </w:r>
    </w:p>
    <w:p>
      <w:pPr>
        <w:pStyle w:val="BlockText"/>
        <w:rPr/>
      </w:pPr>
      <w:r>
        <w:rPr/>
      </w:r>
    </w:p>
    <w:p>
      <w:pPr>
        <w:pStyle w:val="BlockText"/>
        <w:rPr/>
      </w:pPr>
      <w:r>
        <w:rPr/>
        <w:t>The key problem today is that MSEB collections and end-user tariff reforms have not progressed as expected.  Tariff increases have been less than expected (MSEB got only a 6% increase in tariff, while it had petitioned for an 18% increase).  Progress made in stopping theft and illegal connections has been slow, and will require more time and more stringent measures in order to show results.  Growth in industrial demand has not kept pace with expectations, and new industries have been locating to other states.</w:t>
      </w:r>
    </w:p>
    <w:p>
      <w:pPr>
        <w:pStyle w:val="BlockText"/>
        <w:rPr/>
      </w:pPr>
      <w:r>
        <w:rPr/>
      </w:r>
    </w:p>
    <w:p>
      <w:pPr>
        <w:pStyle w:val="BlockText"/>
        <w:rPr/>
      </w:pPr>
      <w:r>
        <w:rPr/>
        <w:t>As Phase II of Dabhol is built, MSEB’s expected outflows will increase as shown below, but their collections will likely not keep pace in the short to medium term (3-5 years).</w:t>
        <w:br/>
      </w:r>
    </w:p>
    <w:p>
      <w:pPr>
        <w:pStyle w:val="BlockText"/>
        <w:ind w:start="0" w:end="-360"/>
        <w:rPr/>
      </w:pPr>
      <w:r>
        <w:rPr/>
        <w:tab/>
      </w:r>
      <w:r>
        <w:rPr>
          <w:b/>
          <w:sz w:val="18"/>
          <w:u w:val="single"/>
        </w:rPr>
        <w:t>DPC Progress</w:t>
        <w:tab/>
        <w:tab/>
        <w:t>Capacity Charge</w:t>
        <w:tab/>
        <w:tab/>
        <w:t>Energy Charge</w:t>
        <w:tab/>
        <w:tab/>
        <w:t>Monthly Bill</w:t>
      </w:r>
    </w:p>
    <w:p>
      <w:pPr>
        <w:pStyle w:val="Normal"/>
        <w:ind w:firstLine="720" w:start="0" w:end="-360"/>
        <w:rPr>
          <w:color w:val="000000"/>
          <w:lang w:eastAsia="en-US"/>
        </w:rPr>
      </w:pPr>
      <w:r>
        <w:rPr>
          <w:color w:val="000000"/>
          <w:lang w:eastAsia="en-US"/>
        </w:rPr>
        <w:t>Current (Block A)</w:t>
        <w:tab/>
        <w:t>Rs. 85-90 Cr.</w:t>
        <w:tab/>
        <w:tab/>
        <w:t>Rs. 80 - 120 Cr.</w:t>
        <w:tab/>
        <w:tab/>
        <w:t>Rs. 165-210 Cr.</w:t>
      </w:r>
    </w:p>
    <w:p>
      <w:pPr>
        <w:pStyle w:val="Normal"/>
        <w:ind w:firstLine="720" w:start="0" w:end="-360"/>
        <w:rPr>
          <w:color w:val="000000"/>
          <w:lang w:eastAsia="en-US"/>
        </w:rPr>
      </w:pPr>
      <w:r>
        <w:rPr>
          <w:color w:val="000000"/>
          <w:lang w:eastAsia="en-US"/>
        </w:rPr>
        <w:t>Mid 2001 (Block B)</w:t>
        <w:tab/>
        <w:t>Rs. 170 - 180 Cr.</w:t>
        <w:tab/>
        <w:tab/>
        <w:t>Rs. 160-240 Cr.</w:t>
        <w:tab/>
        <w:tab/>
        <w:t>Rs. 330-420 Cr.</w:t>
      </w:r>
    </w:p>
    <w:p>
      <w:pPr>
        <w:pStyle w:val="Normal"/>
        <w:ind w:firstLine="720" w:start="0" w:end="-360"/>
        <w:rPr>
          <w:color w:val="000000"/>
          <w:lang w:eastAsia="en-US"/>
        </w:rPr>
      </w:pPr>
      <w:r>
        <w:rPr>
          <w:color w:val="000000"/>
          <w:lang w:eastAsia="en-US"/>
        </w:rPr>
        <w:t>End 2001(Block C)</w:t>
        <w:tab/>
        <w:t>Rs. 240-250 Cr.</w:t>
        <w:tab/>
        <w:tab/>
        <w:t>Rs. 175-225 Cr.</w:t>
        <w:tab/>
        <w:tab/>
        <w:t>Rs. 415-475 Cr.</w:t>
      </w:r>
    </w:p>
    <w:p>
      <w:pPr>
        <w:pStyle w:val="Normal"/>
        <w:ind w:firstLine="720" w:start="0" w:end="-360"/>
        <w:rPr>
          <w:color w:val="000000"/>
          <w:lang w:eastAsia="en-US"/>
        </w:rPr>
      </w:pPr>
      <w:r>
        <w:rPr>
          <w:color w:val="000000"/>
          <w:lang w:eastAsia="en-US"/>
        </w:rPr>
      </w:r>
    </w:p>
    <w:p>
      <w:pPr>
        <w:pStyle w:val="Closing"/>
        <w:spacing w:lineRule="auto" w:line="240"/>
        <w:rPr/>
      </w:pPr>
      <w:r>
        <w:rPr/>
        <w:t xml:space="preserve">In 1999, MSEB generated and purchased 57,354 MUs of power, but billed only 38,995 MUs to customers (68%).  These “lost” MWh are classified as T&amp;D losses.  At an average realization of Rs. 2.25/unit, this accounts for a loss of about Rs. 112 Cr./month.  In all, MSEB has past arrears of nearly Rs.5000 Cr. </w:t>
      </w:r>
    </w:p>
    <w:p>
      <w:pPr>
        <w:pStyle w:val="Closing"/>
        <w:spacing w:lineRule="auto" w:line="240"/>
        <w:rPr/>
      </w:pPr>
      <w:r>
        <w:rPr/>
      </w:r>
    </w:p>
    <w:p>
      <w:pPr>
        <w:pStyle w:val="Closing"/>
        <w:spacing w:lineRule="auto" w:line="240"/>
        <w:rPr>
          <w:sz w:val="18"/>
        </w:rPr>
      </w:pPr>
      <w:r>
        <w:rPr>
          <w:lang w:eastAsia="en-US"/>
        </w:rPr>
        <w:t>MSEB's monthly collections are currently in the range of Rs. 900 Cr./month.  Thus with Blocks B and C of Dabhol coming on line, MSEB will not be in a position to pay their monthly bill, unless there is a dramatic increase in tariff or decrease in theft.</w:t>
      </w:r>
      <w:r>
        <w:rPr>
          <w:color w:val="000000"/>
          <w:lang w:eastAsia="en-US"/>
        </w:rPr>
        <w:t xml:space="preserve">  </w:t>
      </w:r>
    </w:p>
    <w:p>
      <w:pPr>
        <w:pStyle w:val="Closing"/>
        <w:spacing w:lineRule="auto" w:line="240"/>
        <w:rPr>
          <w:b/>
        </w:rPr>
      </w:pPr>
      <w:r>
        <w:rPr>
          <w:b/>
        </w:rPr>
        <w:br/>
        <w:t>Finding a Solution</w:t>
        <w:br/>
      </w:r>
    </w:p>
    <w:p>
      <w:pPr>
        <w:pStyle w:val="Normal"/>
        <w:spacing w:lineRule="atLeast" w:line="240"/>
        <w:rPr>
          <w:color w:val="000000"/>
          <w:lang w:eastAsia="en-US"/>
        </w:rPr>
      </w:pPr>
      <w:r>
        <w:rPr>
          <w:color w:val="000000"/>
          <w:lang w:eastAsia="en-US"/>
        </w:rPr>
        <w:t xml:space="preserve">MSEB, and GoM clearly do not have the resources, in the short run (3-5 yrs.) to meet these obligations; hence Central intervention is needed.  However, Dabhol is clearly a mega-project, and if seen as a national plant, rather than one connected with just one state, the issue of payment capability can be solved.  Additionally, it will also provide power to neighbouring states that are seeing industrial growth, and where there are not large IPPs to meet the demand for power.  </w:t>
      </w:r>
    </w:p>
    <w:p>
      <w:pPr>
        <w:pStyle w:val="Normal"/>
        <w:spacing w:lineRule="atLeast" w:line="240"/>
        <w:rPr>
          <w:color w:val="000000"/>
          <w:lang w:eastAsia="en-US"/>
        </w:rPr>
      </w:pPr>
      <w:r>
        <w:rPr>
          <w:color w:val="000000"/>
          <w:lang w:eastAsia="en-US"/>
        </w:rPr>
      </w:r>
    </w:p>
    <w:p>
      <w:pPr>
        <w:pStyle w:val="Normal"/>
        <w:spacing w:lineRule="atLeast" w:line="240"/>
        <w:rPr>
          <w:color w:val="000000"/>
          <w:lang w:eastAsia="en-US"/>
        </w:rPr>
      </w:pPr>
      <w:r>
        <w:rPr>
          <w:color w:val="000000"/>
          <w:lang w:eastAsia="en-US"/>
        </w:rPr>
        <w:t>In a grid of about 13,000 MW (Maharashtra grid size), absorbing an additional 1,440 MW (Phase II) at one go is difficult; however if we take Western Region, grid size is 42,000 MW.  Clearly absorbing all the power in that framework is much easier.  To this if we add Northern and Southern grids, we can probably evacuate out another 500-700 MW through the interconnects.  Hence, there is definitely value in looking at this issue at a national level.</w:t>
      </w:r>
    </w:p>
    <w:p>
      <w:pPr>
        <w:pStyle w:val="Normal"/>
        <w:spacing w:lineRule="atLeast" w:line="240"/>
        <w:ind w:start="810" w:end="-360"/>
        <w:rPr>
          <w:color w:val="000000"/>
          <w:lang w:eastAsia="en-US"/>
        </w:rPr>
      </w:pPr>
      <w:r>
        <w:rPr>
          <w:color w:val="000000"/>
          <w:lang w:eastAsia="en-US"/>
        </w:rPr>
      </w:r>
    </w:p>
    <w:p>
      <w:pPr>
        <w:pStyle w:val="Normal"/>
        <w:spacing w:lineRule="atLeast" w:line="240"/>
        <w:ind w:start="810" w:end="-360"/>
        <w:rPr>
          <w:color w:val="000000"/>
          <w:lang w:eastAsia="en-US"/>
        </w:rPr>
      </w:pPr>
      <w:r>
        <w:rPr>
          <w:color w:val="000000"/>
          <w:lang w:eastAsia="en-US"/>
        </w:rPr>
        <w:t xml:space="preserve">Such a solution could be worked out in conjunction with some equity participation by the Central government in the project, as well as some financial re-engineering of the tariff to lower it somewhat in the early years.  </w:t>
      </w:r>
    </w:p>
    <w:p>
      <w:pPr>
        <w:pStyle w:val="Normal"/>
        <w:spacing w:lineRule="atLeast" w:line="240"/>
        <w:ind w:start="810" w:end="-360"/>
        <w:rPr>
          <w:color w:val="000000"/>
          <w:lang w:eastAsia="en-US"/>
        </w:rPr>
      </w:pPr>
      <w:r>
        <w:rPr>
          <w:color w:val="000000"/>
          <w:lang w:eastAsia="en-US"/>
        </w:rPr>
      </w:r>
    </w:p>
    <w:p>
      <w:pPr>
        <w:pStyle w:val="Normal"/>
        <w:spacing w:lineRule="atLeast" w:line="240"/>
        <w:ind w:start="810" w:end="-360"/>
        <w:rPr>
          <w:color w:val="000000"/>
          <w:lang w:eastAsia="en-US"/>
        </w:rPr>
      </w:pPr>
      <w:r>
        <w:rPr>
          <w:color w:val="000000"/>
          <w:lang w:eastAsia="en-US"/>
        </w:rPr>
        <w:t xml:space="preserve">Due to the nature of the project, any solution we arrive at would need to involve MSEB, Government of Maharashtra, and probably both the Power and the Finance Ministries in Delhi.  Bringing together such a group and arriving at a solution will require a lot of time.  Since Phase II of Dabhol is on schedule to come on line by year-end 2001, it is important that we start the exercise of solving this problem as soon as possible. </w:t>
      </w:r>
    </w:p>
    <w:p>
      <w:pPr>
        <w:pStyle w:val="Normal"/>
        <w:spacing w:lineRule="atLeast" w:line="240"/>
        <w:ind w:start="810" w:end="-360"/>
        <w:rPr>
          <w:color w:val="000000"/>
          <w:lang w:eastAsia="en-US"/>
        </w:rPr>
      </w:pPr>
      <w:r>
        <w:rPr>
          <w:color w:val="000000"/>
          <w:lang w:eastAsia="en-US"/>
        </w:rPr>
      </w:r>
    </w:p>
    <w:p>
      <w:pPr>
        <w:pStyle w:val="Normal"/>
        <w:spacing w:lineRule="atLeast" w:line="240"/>
        <w:ind w:start="810" w:end="-360"/>
        <w:rPr>
          <w:b/>
          <w:color w:val="000000"/>
          <w:lang w:eastAsia="en-US"/>
        </w:rPr>
      </w:pPr>
      <w:r>
        <w:rPr>
          <w:b/>
          <w:color w:val="000000"/>
          <w:lang w:eastAsia="en-US"/>
        </w:rPr>
        <w:t>Some Issues to Note</w:t>
        <w:br/>
      </w:r>
    </w:p>
    <w:p>
      <w:pPr>
        <w:pStyle w:val="Normal"/>
        <w:spacing w:lineRule="atLeast" w:line="240"/>
        <w:ind w:start="810" w:end="-360"/>
        <w:rPr>
          <w:color w:val="000000"/>
          <w:lang w:eastAsia="en-US"/>
        </w:rPr>
      </w:pPr>
      <w:r>
        <w:rPr>
          <w:color w:val="000000"/>
          <w:lang w:eastAsia="en-US"/>
        </w:rPr>
        <w:t xml:space="preserve">Dabhol is one of the most high profile projects in the international arena, and has been closely watched by international and Indian investors.  Phase I of the project has the sovereign guarantee of GoI, and this continues pro-rata once Phase II is constructed.  Both phases of the project are backed by a government of Maharashtra guarantee. These guarantees are for the normal bill payments, as well as for termination payments, if such an event occurs.  </w:t>
      </w:r>
    </w:p>
    <w:p>
      <w:pPr>
        <w:pStyle w:val="Normal"/>
        <w:spacing w:lineRule="atLeast" w:line="240"/>
        <w:ind w:start="810" w:end="-360"/>
        <w:rPr>
          <w:color w:val="000000"/>
          <w:lang w:eastAsia="en-US"/>
        </w:rPr>
      </w:pPr>
      <w:r>
        <w:rPr>
          <w:color w:val="000000"/>
          <w:lang w:eastAsia="en-US"/>
        </w:rPr>
      </w:r>
    </w:p>
    <w:p>
      <w:pPr>
        <w:pStyle w:val="Normal"/>
        <w:spacing w:lineRule="atLeast" w:line="240"/>
        <w:ind w:start="810" w:end="-360"/>
        <w:rPr>
          <w:color w:val="000000"/>
          <w:lang w:eastAsia="en-US"/>
        </w:rPr>
      </w:pPr>
      <w:r>
        <w:rPr>
          <w:color w:val="000000"/>
          <w:lang w:eastAsia="en-US"/>
        </w:rPr>
        <w:t>Over the last month, DPC has come very close to calling upon the GoM guarantee since MSEB was in arrears for over Rs. 280 Cr.  If this were to happen, it would almost definitely lead to a deterioration of the country's credit rating and affect incoming investments in all sectors.  It may also lead to pressure from international Export Credit Agencies (ECAs) that have lent money to the project.  These include the ECAs of Japan, USA, and Belgium.  Apart from this, a consortium of over 20 international and national banks have lent to the project.  On the Indian side these include prominent government owned banks like IDBI, ICICI, SBI etc.</w:t>
      </w:r>
    </w:p>
    <w:p>
      <w:pPr>
        <w:pStyle w:val="Normal"/>
        <w:spacing w:lineRule="atLeast" w:line="240"/>
        <w:ind w:start="810" w:end="-360"/>
        <w:rPr>
          <w:color w:val="000000"/>
          <w:lang w:eastAsia="en-US"/>
        </w:rPr>
      </w:pPr>
      <w:r>
        <w:rPr>
          <w:color w:val="000000"/>
          <w:lang w:eastAsia="en-US"/>
        </w:rPr>
      </w:r>
    </w:p>
    <w:p>
      <w:pPr>
        <w:pStyle w:val="Normal"/>
        <w:spacing w:lineRule="atLeast" w:line="240"/>
        <w:ind w:start="810" w:end="-360"/>
        <w:rPr>
          <w:color w:val="000000"/>
          <w:lang w:eastAsia="en-US"/>
        </w:rPr>
      </w:pPr>
      <w:r>
        <w:rPr>
          <w:color w:val="000000"/>
          <w:lang w:eastAsia="en-US"/>
        </w:rPr>
        <w:t>Since all these issues have implications far beyond Maharastra, it is important that the Central government get involved with solving the problem before the actual commissioning of Phase II.</w:t>
      </w:r>
    </w:p>
    <w:p>
      <w:pPr>
        <w:pStyle w:val="Normal"/>
        <w:spacing w:lineRule="atLeast" w:line="240"/>
        <w:ind w:start="810" w:end="-360"/>
        <w:rPr>
          <w:color w:val="000000"/>
          <w:lang w:eastAsia="en-US"/>
        </w:rPr>
      </w:pPr>
      <w:r>
        <w:rPr>
          <w:color w:val="000000"/>
          <w:lang w:eastAsia="en-US"/>
        </w:rPr>
      </w:r>
    </w:p>
    <w:sectPr>
      <w:headerReference w:type="default" r:id="rId2"/>
      <w:headerReference w:type="first" r:id="rId3"/>
      <w:footerReference w:type="default" r:id="rId4"/>
      <w:footerReference w:type="first" r:id="rId5"/>
      <w:type w:val="nextPage"/>
      <w:pgSz w:w="12240" w:h="15840"/>
      <w:pgMar w:left="1800" w:right="1800" w:gutter="0" w:header="965" w:top="1685"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fldChar w:fldCharType="begin"/>
    </w:r>
    <w:r>
      <w:rPr/>
      <w:instrText xml:space="preserve"> PAGE \* ARABIC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ind w:hanging="0" w:start="840" w:end="-36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ind w:hanging="0" w:start="840" w:end="-36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ind w:hanging="0" w:start="840" w:end="-36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ind w:hanging="0" w:start="840" w:end="-36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paragraph" w:styleId="Heading6">
    <w:name w:val="heading 6"/>
    <w:basedOn w:val="Normal"/>
    <w:next w:val="Normal"/>
    <w:qFormat/>
    <w:pPr>
      <w:keepNext w:val="true"/>
      <w:numPr>
        <w:ilvl w:val="5"/>
        <w:numId w:val="1"/>
      </w:numPr>
      <w:spacing w:lineRule="atLeast" w:line="240"/>
      <w:ind w:hanging="0" w:start="810" w:end="-360"/>
      <w:outlineLvl w:val="5"/>
    </w:pPr>
    <w:rPr>
      <w:b/>
      <w:color w:val="000000"/>
      <w:lang w:eastAsia="en-U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St6z0">
    <w:name w:val="WW8NumSt6z0"/>
    <w:qFormat/>
    <w:rPr>
      <w:rFonts w:ascii="Symbol" w:hAnsi="Symbol" w:cs="Symbol"/>
      <w:sz w:val="32"/>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84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ind w:hanging="0" w:start="840" w:end="-36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paragraph" w:styleId="BlockText">
    <w:name w:val="Block Text"/>
    <w:basedOn w:val="Normal"/>
    <w:qFormat/>
    <w:pPr>
      <w:spacing w:lineRule="atLeast" w:line="240"/>
      <w:ind w:hanging="0" w:start="810" w:end="-360"/>
    </w:pPr>
    <w:rPr>
      <w:color w:val="000000"/>
      <w:lang w:eastAsia="en-US"/>
    </w:rPr>
  </w:style>
  <w:style w:type="paragraph" w:styleId="HeaderLeft">
    <w:name w:val="Header Left"/>
    <w:basedOn w:val="Header"/>
    <w:qFormat/>
    <w:pPr>
      <w:suppressLineNumbers/>
      <w:tabs>
        <w:tab w:val="clear" w:pos="-1080"/>
        <w:tab w:val="clear" w:pos="948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Memo</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2001-01-16T11:45:00Z</dcterms:created>
  <dc:creator>EI</dc:creator>
  <dc:description/>
  <dc:language>en-CA</dc:language>
  <cp:lastModifiedBy>EI</cp:lastModifiedBy>
  <cp:lastPrinted>2001-01-04T12:56:00Z</cp:lastPrinted>
  <dcterms:modified xsi:type="dcterms:W3CDTF">2001-01-16T12:18:00Z</dcterms:modified>
  <cp:revision>7</cp:revision>
  <dc:subject/>
  <dc:title>Memo</dc:title>
</cp:coreProperties>
</file>