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DRAFT – January 6, 2000</w:t>
      </w:r>
    </w:p>
    <w:p>
      <w:pPr>
        <w:pStyle w:val="Heading2"/>
        <w:ind w:hanging="0" w:start="0"/>
        <w:rPr/>
      </w:pPr>
      <w:r>
        <w:rPr/>
        <w:t>For Internal Use – Only if Asked</w:t>
      </w:r>
    </w:p>
    <w:p>
      <w:pPr>
        <w:pStyle w:val="Normal"/>
        <w:jc w:val="center"/>
        <w:rPr>
          <w:b/>
          <w:sz w:val="24"/>
        </w:rPr>
      </w:pPr>
      <w:r>
        <w:rPr>
          <w:b/>
          <w:sz w:val="24"/>
        </w:rPr>
        <w:t>Statement on DPC Actions Related to MSEB Outstanding Payments</w:t>
      </w:r>
    </w:p>
    <w:p>
      <w:pPr>
        <w:pStyle w:val="Normal"/>
        <w:jc w:val="center"/>
        <w:rPr>
          <w:b/>
          <w:sz w:val="24"/>
        </w:rPr>
      </w:pPr>
      <w:r>
        <w:rPr>
          <w:b/>
          <w:sz w:val="24"/>
        </w:rPr>
      </w:r>
    </w:p>
    <w:p>
      <w:pPr>
        <w:pStyle w:val="Normal"/>
        <w:rPr>
          <w:sz w:val="24"/>
        </w:rPr>
      </w:pPr>
      <w:r>
        <w:rPr>
          <w:sz w:val="24"/>
        </w:rPr>
        <w:t xml:space="preserve">The Dabhol Power Company, as a result of MSEB’s failure to meet a part of its payment obligations, has exercised some of our rights under the security provisions of the power purchase agreement.  DPC’s actions include drawing MSEB’s letter of credit, drawing upon the government of Maharashtra’s guarantee and issuing a notice to meet and confer.  Although additional remedies are available, these actions are specifically being taken to satisfy outstanding obligations and stimulate a more permanent resolution of MSEB’s payment difficulties. </w:t>
      </w:r>
    </w:p>
    <w:p>
      <w:pPr>
        <w:pStyle w:val="Normal"/>
        <w:pBdr>
          <w:bottom w:val="single" w:sz="12" w:space="1" w:color="000000"/>
        </w:pBdr>
        <w:rPr>
          <w:sz w:val="24"/>
        </w:rPr>
      </w:pPr>
      <w:r>
        <w:rPr>
          <w:sz w:val="24"/>
        </w:rPr>
      </w:r>
    </w:p>
    <w:p>
      <w:pPr>
        <w:pStyle w:val="Normal"/>
        <w:rPr>
          <w:sz w:val="24"/>
        </w:rPr>
      </w:pPr>
      <w:r>
        <w:rPr>
          <w:sz w:val="24"/>
        </w:rPr>
      </w:r>
    </w:p>
    <w:p>
      <w:pPr>
        <w:pStyle w:val="Normal"/>
        <w:rPr>
          <w:sz w:val="24"/>
        </w:rPr>
      </w:pPr>
      <w:r>
        <w:rPr>
          <w:sz w:val="24"/>
        </w:rPr>
        <w:t>Additional Q&amp;As</w:t>
      </w:r>
    </w:p>
    <w:p>
      <w:pPr>
        <w:pStyle w:val="Normal"/>
        <w:rPr>
          <w:sz w:val="24"/>
        </w:rPr>
      </w:pPr>
      <w:r>
        <w:rPr>
          <w:sz w:val="24"/>
        </w:rPr>
      </w:r>
    </w:p>
    <w:p>
      <w:pPr>
        <w:pStyle w:val="Normal"/>
        <w:numPr>
          <w:ilvl w:val="0"/>
          <w:numId w:val="3"/>
        </w:numPr>
        <w:rPr>
          <w:sz w:val="24"/>
        </w:rPr>
      </w:pPr>
      <w:r>
        <w:rPr>
          <w:sz w:val="24"/>
        </w:rPr>
        <w:t>What other actions are you planning?</w:t>
      </w:r>
    </w:p>
    <w:p>
      <w:pPr>
        <w:pStyle w:val="Normal"/>
        <w:numPr>
          <w:ilvl w:val="0"/>
          <w:numId w:val="2"/>
        </w:numPr>
        <w:rPr>
          <w:sz w:val="24"/>
        </w:rPr>
      </w:pPr>
      <w:r>
        <w:rPr>
          <w:sz w:val="24"/>
        </w:rPr>
        <w:t>We believe we have taken the appropriate steps for the current circumstances.  It would not be appropriate to speculate on future actions.</w:t>
      </w:r>
    </w:p>
    <w:p>
      <w:pPr>
        <w:pStyle w:val="Normal"/>
        <w:rPr>
          <w:sz w:val="24"/>
        </w:rPr>
      </w:pPr>
      <w:r>
        <w:rPr>
          <w:sz w:val="24"/>
        </w:rPr>
      </w:r>
    </w:p>
    <w:p>
      <w:pPr>
        <w:pStyle w:val="Normal"/>
        <w:rPr>
          <w:sz w:val="24"/>
        </w:rPr>
      </w:pPr>
      <w:r>
        <w:rPr>
          <w:sz w:val="24"/>
        </w:rPr>
        <w:t>Q.  What can be done to resolve the problem?</w:t>
      </w:r>
    </w:p>
    <w:p>
      <w:pPr>
        <w:pStyle w:val="Normal"/>
        <w:rPr>
          <w:sz w:val="24"/>
        </w:rPr>
      </w:pPr>
      <w:r>
        <w:rPr>
          <w:sz w:val="24"/>
        </w:rPr>
        <w:t xml:space="preserve">A.  The government of Maharashtra has the ability to resolve MSEB’s financial difficulties through actions such as enhanced collections and allowing MSEB to increase tariffs.  We certainly want to offer our assistance in identifying other potential solutions. </w:t>
      </w:r>
    </w:p>
    <w:p>
      <w:pPr>
        <w:pStyle w:val="Normal"/>
        <w:rPr>
          <w:sz w:val="24"/>
        </w:rPr>
      </w:pPr>
      <w:r>
        <w:rPr>
          <w:sz w:val="24"/>
        </w:rPr>
      </w:r>
    </w:p>
    <w:p>
      <w:pPr>
        <w:pStyle w:val="Normal"/>
        <w:rPr>
          <w:sz w:val="24"/>
        </w:rPr>
      </w:pPr>
      <w:r>
        <w:rPr>
          <w:sz w:val="24"/>
        </w:rPr>
        <w:t>Q.  Is this an indication that DPC is at risk?</w:t>
      </w:r>
    </w:p>
    <w:p>
      <w:pPr>
        <w:pStyle w:val="Normal"/>
        <w:rPr>
          <w:sz w:val="24"/>
        </w:rPr>
      </w:pPr>
      <w:r>
        <w:rPr>
          <w:sz w:val="24"/>
        </w:rPr>
        <w:t xml:space="preserve">A.  Part of the reason for having state guarantees was to provide security against the possibility of MSEB payment problems.  MSEB has been late with past payments and ultimately satisfied those obligations.  With the state’s help in areas like collections, dispatch order and tariffs, we believe MSEB will be capable of satisfying it’s future obligations. </w:t>
      </w:r>
    </w:p>
    <w:p>
      <w:pPr>
        <w:pStyle w:val="Normal"/>
        <w:rPr>
          <w:sz w:val="24"/>
        </w:rPr>
      </w:pPr>
      <w:r>
        <w:rPr>
          <w:sz w:val="24"/>
        </w:rPr>
      </w:r>
    </w:p>
    <w:p>
      <w:pPr>
        <w:pStyle w:val="BodyText2"/>
        <w:rPr/>
      </w:pPr>
      <w:r>
        <w:rPr/>
        <w:t>Q.  How will this impact on the future of Phase II of the Dabhol project?</w:t>
      </w:r>
    </w:p>
    <w:p>
      <w:pPr>
        <w:pStyle w:val="BodyText2"/>
        <w:rPr/>
      </w:pPr>
      <w:r>
        <w:rPr/>
        <w:t xml:space="preserve">A.  We are evaluating all the options available to address this issue but it is premature to give more details at this stage. The work on Phase II of the project is progressing well on schedule.  </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abstractNum w:abstractNumId="3">
    <w:lvl w:ilvl="0">
      <w:start w:val="17"/>
      <w:numFmt w:val="upperLetter"/>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center"/>
      <w:outlineLvl w:val="1"/>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tabs>
        <w:tab w:val="clear" w:pos="720"/>
        <w:tab w:val="left" w:pos="-720" w:leader="none"/>
      </w:tabs>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BodyText3">
    <w:name w:val="Body Text 3"/>
    <w:basedOn w:val="Normal"/>
    <w:qFormat/>
    <w:pPr/>
    <w:rPr>
      <w:color w:val="000000"/>
      <w:sz w:val="24"/>
      <w:lang w:eastAsia="en-US"/>
    </w:rPr>
  </w:style>
  <w:style w:type="paragraph" w:styleId="Subtitle">
    <w:name w:val="Subtitle"/>
    <w:basedOn w:val="Normal"/>
    <w:next w:val="BodyText"/>
    <w:qFormat/>
    <w:pPr/>
    <w:rPr>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2001-01-06T22:24:00Z</dcterms:created>
  <dc:creator>Enron</dc:creator>
  <dc:description/>
  <dc:language>en-CA</dc:language>
  <cp:lastModifiedBy>Enron</cp:lastModifiedBy>
  <cp:lastPrinted>2001-01-02T16:46:00Z</cp:lastPrinted>
  <dcterms:modified xsi:type="dcterms:W3CDTF">2001-01-06T22:24:00Z</dcterms:modified>
  <cp:revision>2</cp:revision>
  <dc:subject/>
  <dc:title>Phased Message Statements – Dabhol Power Company</dc:title>
</cp:coreProperties>
</file>