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BodyText3"/>
        <w:rPr>
          <w:sz w:val="22"/>
        </w:rPr>
      </w:pPr>
      <w:r>
        <w:rPr>
          <w:sz w:val="22"/>
        </w:rPr>
        <w:t>April 21, 2000</w:t>
        <w:tab/>
        <w:tab/>
        <w:tab/>
        <w:tab/>
        <w:t xml:space="preserve">                   </w:t>
      </w:r>
    </w:p>
    <w:p>
      <w:pPr>
        <w:pStyle w:val="Normal"/>
        <w:rPr>
          <w:rFonts w:ascii="Arial" w:hAnsi="Arial" w:cs="Arial"/>
          <w:sz w:val="22"/>
        </w:rPr>
      </w:pPr>
      <w:r>
        <w:rPr>
          <w:rFonts w:cs="Arial" w:ascii="Arial" w:hAnsi="Arial"/>
          <w:sz w:val="22"/>
        </w:rPr>
      </w:r>
    </w:p>
    <w:p>
      <w:pPr>
        <w:pStyle w:val="InsideAddress"/>
        <w:jc w:val="start"/>
        <w:rPr>
          <w:rFonts w:ascii="Arial" w:hAnsi="Arial" w:cs="Arial"/>
          <w:sz w:val="22"/>
        </w:rPr>
      </w:pPr>
      <w:r>
        <w:rPr>
          <w:rFonts w:cs="Arial" w:ascii="Arial" w:hAnsi="Arial"/>
          <w:sz w:val="22"/>
        </w:rPr>
        <w:t>Mr. Neil Kennebeck</w:t>
      </w:r>
    </w:p>
    <w:p>
      <w:pPr>
        <w:pStyle w:val="InsideAddress"/>
        <w:jc w:val="start"/>
        <w:rPr>
          <w:rFonts w:ascii="Arial" w:hAnsi="Arial" w:cs="Arial"/>
          <w:sz w:val="22"/>
        </w:rPr>
      </w:pPr>
      <w:r>
        <w:rPr>
          <w:rFonts w:cs="Arial" w:ascii="Arial" w:hAnsi="Arial"/>
          <w:sz w:val="22"/>
        </w:rPr>
        <w:t>Dairyland Power Cooperative</w:t>
      </w:r>
    </w:p>
    <w:p>
      <w:pPr>
        <w:pStyle w:val="InsideAddress"/>
        <w:jc w:val="start"/>
        <w:rPr>
          <w:rFonts w:ascii="Arial" w:hAnsi="Arial" w:cs="Arial"/>
          <w:sz w:val="22"/>
        </w:rPr>
      </w:pPr>
      <w:r>
        <w:rPr>
          <w:rFonts w:cs="Arial" w:ascii="Arial" w:hAnsi="Arial"/>
          <w:sz w:val="22"/>
        </w:rPr>
        <w:t>3200 East Avenue South</w:t>
      </w:r>
    </w:p>
    <w:p>
      <w:pPr>
        <w:pStyle w:val="InsideAddress"/>
        <w:jc w:val="start"/>
        <w:rPr>
          <w:rFonts w:ascii="Arial" w:hAnsi="Arial" w:cs="Arial"/>
          <w:sz w:val="22"/>
        </w:rPr>
      </w:pPr>
      <w:r>
        <w:rPr>
          <w:rFonts w:cs="Arial" w:ascii="Arial" w:hAnsi="Arial"/>
          <w:sz w:val="22"/>
        </w:rPr>
        <w:t>LaCrosse, WI 54602-0817</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Re:</w:t>
        <w:tab/>
        <w:t>Dairyland Power Cooperative Supply Proposal</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Dear Neil:</w:t>
      </w:r>
    </w:p>
    <w:p>
      <w:pPr>
        <w:pStyle w:val="BodyText2"/>
        <w:jc w:val="start"/>
        <w:rPr>
          <w:rFonts w:ascii="Arial" w:hAnsi="Arial" w:cs="Arial"/>
          <w:sz w:val="22"/>
        </w:rPr>
      </w:pPr>
      <w:r>
        <w:rPr>
          <w:rFonts w:cs="Arial"/>
          <w:sz w:val="22"/>
        </w:rPr>
      </w:r>
    </w:p>
    <w:p>
      <w:pPr>
        <w:pStyle w:val="BodyText2"/>
        <w:jc w:val="start"/>
        <w:rPr>
          <w:sz w:val="22"/>
        </w:rPr>
      </w:pPr>
      <w:r>
        <w:rPr>
          <w:sz w:val="22"/>
        </w:rPr>
        <w:t>It was a pleasure meeting with Dairyland Power Cooperative (“DPC”) back on Tuesday, March 28. Enron North America (“Enron”) is extremely excited about the opportunity to work with DPC. Enron believes that it can effectively help DPC with its future energy and capacity needs. We have put together a proposal that we feel will benefit both parties in this regard.</w:t>
      </w:r>
    </w:p>
    <w:p>
      <w:pPr>
        <w:pStyle w:val="BodyText2"/>
        <w:jc w:val="start"/>
        <w:rPr>
          <w:sz w:val="22"/>
        </w:rPr>
      </w:pPr>
      <w:r>
        <w:rPr>
          <w:sz w:val="22"/>
        </w:rPr>
      </w:r>
    </w:p>
    <w:p>
      <w:pPr>
        <w:pStyle w:val="BodyText2"/>
        <w:jc w:val="start"/>
        <w:rPr>
          <w:sz w:val="22"/>
        </w:rPr>
      </w:pPr>
      <w:r>
        <w:rPr>
          <w:sz w:val="22"/>
        </w:rPr>
        <w:t>Attached is a proposal for DPC’s power supply requirements.  Important elements of our proposal include:</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Enron is presenting DPC with a 2 X LM6000 configuration with commercial operation start date of May 1, 2001.</w:t>
      </w:r>
    </w:p>
    <w:p>
      <w:pPr>
        <w:pStyle w:val="Normal"/>
        <w:numPr>
          <w:ilvl w:val="0"/>
          <w:numId w:val="1"/>
        </w:numPr>
        <w:rPr>
          <w:rFonts w:ascii="Arial" w:hAnsi="Arial" w:cs="Arial"/>
          <w:sz w:val="22"/>
        </w:rPr>
      </w:pPr>
      <w:r>
        <w:rPr>
          <w:rFonts w:cs="Arial" w:ascii="Arial" w:hAnsi="Arial"/>
          <w:sz w:val="22"/>
        </w:rPr>
        <w:t xml:space="preserve">The LM6000 turbine has superior reliability and operating characteristics compared to alternatives.  </w:t>
      </w:r>
    </w:p>
    <w:p>
      <w:pPr>
        <w:pStyle w:val="Normal"/>
        <w:numPr>
          <w:ilvl w:val="0"/>
          <w:numId w:val="1"/>
        </w:numPr>
        <w:rPr>
          <w:rFonts w:ascii="Arial" w:hAnsi="Arial" w:cs="Arial"/>
          <w:sz w:val="22"/>
        </w:rPr>
      </w:pPr>
      <w:r>
        <w:rPr>
          <w:rFonts w:cs="Arial" w:ascii="Arial" w:hAnsi="Arial"/>
          <w:sz w:val="22"/>
        </w:rPr>
        <w:t>Enron’s analysis indicates that the attached proposal is superior to DPC’s alternatives with less investment and risk. To purchase two (2) LM6000’s for operation beginning Summer 2001, Enron estimates DPC would have to pay approximately $49MM.</w:t>
      </w:r>
    </w:p>
    <w:p>
      <w:pPr>
        <w:pStyle w:val="Normal"/>
        <w:numPr>
          <w:ilvl w:val="0"/>
          <w:numId w:val="1"/>
        </w:numPr>
        <w:rPr>
          <w:rFonts w:ascii="Arial" w:hAnsi="Arial" w:cs="Arial"/>
          <w:sz w:val="22"/>
        </w:rPr>
      </w:pPr>
      <w:r>
        <w:rPr>
          <w:rFonts w:cs="Arial" w:ascii="Arial" w:hAnsi="Arial"/>
          <w:sz w:val="22"/>
        </w:rPr>
        <w:t>Enron’s is willing to purchase back capacity and energy, through a PPA, for the first two years of the project.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I would like to elaborate on our proposal and will give you a call at the beginning of next week. </w:t>
      </w:r>
    </w:p>
    <w:p>
      <w:pPr>
        <w:pStyle w:val="Normal"/>
        <w:rPr>
          <w:rFonts w:ascii="Arial" w:hAnsi="Arial" w:cs="Arial"/>
          <w:sz w:val="22"/>
        </w:rPr>
      </w:pPr>
      <w:r>
        <w:rPr>
          <w:rFonts w:cs="Arial" w:ascii="Arial" w:hAnsi="Arial"/>
          <w:sz w:val="22"/>
        </w:rPr>
      </w:r>
    </w:p>
    <w:p>
      <w:pPr>
        <w:pStyle w:val="Closing"/>
        <w:jc w:val="start"/>
        <w:rPr>
          <w:rFonts w:ascii="Arial" w:hAnsi="Arial" w:cs="Arial"/>
          <w:sz w:val="22"/>
        </w:rPr>
      </w:pPr>
      <w:r>
        <w:rPr>
          <w:rFonts w:cs="Arial" w:ascii="Arial" w:hAnsi="Arial"/>
          <w:sz w:val="22"/>
        </w:rPr>
        <w:t>Best regards,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Russ Porter</w:t>
      </w:r>
    </w:p>
    <w:p>
      <w:pPr>
        <w:pStyle w:val="Normal"/>
        <w:rPr>
          <w:rFonts w:ascii="Arial" w:hAnsi="Arial" w:cs="Arial"/>
          <w:sz w:val="22"/>
        </w:rPr>
      </w:pPr>
      <w:r>
        <w:rPr>
          <w:rFonts w:cs="Arial" w:ascii="Arial" w:hAnsi="Arial"/>
          <w:sz w:val="22"/>
        </w:rPr>
        <w:t>Manager</w:t>
      </w:r>
    </w:p>
    <w:p>
      <w:pPr>
        <w:pStyle w:val="Normal"/>
        <w:rPr>
          <w:rFonts w:ascii="Arial" w:hAnsi="Arial" w:cs="Arial"/>
          <w:sz w:val="22"/>
        </w:rPr>
      </w:pPr>
      <w:r>
        <w:rPr>
          <w:rFonts w:cs="Arial" w:ascii="Arial" w:hAnsi="Arial"/>
          <w:sz w:val="22"/>
        </w:rPr>
        <w:t>Commercial Transaction Group</w:t>
      </w:r>
    </w:p>
    <w:p>
      <w:pPr>
        <w:pStyle w:val="Normal"/>
        <w:rPr>
          <w:rFonts w:ascii="Arial" w:hAnsi="Arial" w:cs="Arial"/>
          <w:sz w:val="22"/>
        </w:rPr>
      </w:pPr>
      <w:r>
        <w:rPr>
          <w:rFonts w:cs="Arial" w:ascii="Arial" w:hAnsi="Arial"/>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next w:val="Signature"/>
    <w:qFormat/>
    <w:pPr>
      <w:keepNext w:val="true"/>
      <w:spacing w:lineRule="atLeast" w:line="240" w:before="0" w:after="120"/>
      <w:jc w:val="both"/>
    </w:pPr>
    <w:rPr>
      <w:rFonts w:ascii="Garamond" w:hAnsi="Garamond" w:cs="Garamond"/>
      <w:kern w:val="2"/>
    </w:rPr>
  </w:style>
  <w:style w:type="paragraph" w:styleId="InsideAddress">
    <w:name w:val="Inside Address"/>
    <w:basedOn w:val="Normal"/>
    <w:qFormat/>
    <w:pPr>
      <w:spacing w:lineRule="atLeast" w:line="240"/>
      <w:jc w:val="both"/>
    </w:pPr>
    <w:rPr>
      <w:rFonts w:ascii="Garamond" w:hAnsi="Garamond" w:cs="Garamond"/>
      <w:kern w:val="2"/>
    </w:rPr>
  </w:style>
  <w:style w:type="paragraph" w:styleId="BodyText2">
    <w:name w:val="Body Text 2"/>
    <w:basedOn w:val="Normal"/>
    <w:qFormat/>
    <w:pPr>
      <w:jc w:val="both"/>
    </w:pPr>
    <w:rPr>
      <w:rFonts w:ascii="Arial" w:hAnsi="Arial" w:cs="Arial"/>
      <w:kern w:val="2"/>
      <w:sz w:val="24"/>
    </w:rPr>
  </w:style>
  <w:style w:type="paragraph" w:styleId="BodyText3">
    <w:name w:val="Body Text 3"/>
    <w:basedOn w:val="Normal"/>
    <w:qFormat/>
    <w:pPr/>
    <w:rPr>
      <w:rFonts w:ascii="Arial" w:hAnsi="Arial" w:cs="Arial"/>
      <w:kern w:val="2"/>
      <w:sz w:val="24"/>
    </w:rPr>
  </w:style>
  <w:style w:type="paragraph" w:styleId="Signature">
    <w:name w:val="Signature"/>
    <w:basedOn w:val="Normal"/>
    <w:pPr>
      <w:ind w:hanging="0" w:start="43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2000-04-21T11:38:00Z</dcterms:created>
  <dc:creator>Russell Porter</dc:creator>
  <dc:description/>
  <dc:language>en-CA</dc:language>
  <cp:lastModifiedBy>Russell Porter</cp:lastModifiedBy>
  <cp:lastPrinted>2000-04-21T09:56:00Z</cp:lastPrinted>
  <dcterms:modified xsi:type="dcterms:W3CDTF">2000-04-21T12:44:00Z</dcterms:modified>
  <cp:revision>3</cp:revision>
  <dc:subject/>
  <dc:title>April 20, 2000</dc:title>
</cp:coreProperties>
</file>