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ab/>
        <w:tab/>
        <w:tab/>
        <w:t>For Internal Use – Only Used if Asked</w:t>
      </w:r>
    </w:p>
    <w:p>
      <w:pPr>
        <w:pStyle w:val="BodyText2"/>
        <w:rPr/>
      </w:pPr>
      <w:r>
        <w:rPr/>
        <w:tab/>
        <w:tab/>
        <w:tab/>
        <w:tab/>
        <w:t>November 29, 2000</w:t>
      </w:r>
    </w:p>
    <w:p>
      <w:pPr>
        <w:pStyle w:val="BodyText2"/>
        <w:rPr/>
      </w:pPr>
      <w:r>
        <w:rPr/>
      </w:r>
    </w:p>
    <w:p>
      <w:pPr>
        <w:pStyle w:val="BodyText2"/>
        <w:rPr/>
      </w:pPr>
      <w:r>
        <w:rPr/>
        <w:tab/>
      </w:r>
      <w:r>
        <w:rPr>
          <w:u w:val="single"/>
        </w:rPr>
        <w:t>Remarks by Maharashtra Chief Minister re review of Dabhol PPA</w:t>
      </w:r>
    </w:p>
    <w:p>
      <w:pPr>
        <w:pStyle w:val="BodyText2"/>
        <w:rPr>
          <w:u w:val="single"/>
        </w:rPr>
      </w:pPr>
      <w:r>
        <w:rPr>
          <w:u w:val="single"/>
        </w:rPr>
      </w:r>
    </w:p>
    <w:p>
      <w:pPr>
        <w:pStyle w:val="BodyText2"/>
        <w:rPr/>
      </w:pPr>
      <w:r>
        <w:rPr/>
      </w:r>
    </w:p>
    <w:p>
      <w:pPr>
        <w:pStyle w:val="BodyText2"/>
        <w:rPr/>
      </w:pPr>
      <w:r>
        <w:rPr/>
        <w:t>Interim Statement (Until we receive all approvals for below Q&amp;As)</w:t>
      </w:r>
    </w:p>
    <w:p>
      <w:pPr>
        <w:pStyle w:val="BodyText2"/>
        <w:rPr/>
      </w:pPr>
      <w:r>
        <w:rPr/>
      </w:r>
    </w:p>
    <w:p>
      <w:pPr>
        <w:pStyle w:val="BodyText2"/>
        <w:rPr>
          <w:rFonts w:ascii="Helv;Arial" w:hAnsi="Helv;Arial" w:cs="Helv;Arial"/>
          <w:b w:val="false"/>
          <w:color w:val="000000"/>
          <w:lang w:eastAsia="en-US"/>
        </w:rPr>
      </w:pPr>
      <w:r>
        <w:rPr>
          <w:rFonts w:cs="Helv;Arial" w:ascii="Helv;Arial" w:hAnsi="Helv;Arial"/>
          <w:b w:val="false"/>
          <w:color w:val="000000"/>
          <w:lang w:eastAsia="en-US"/>
        </w:rPr>
        <w:t xml:space="preserve">We have noted press reports on remarks made by the Chief Minister of Maharashtra regarding the PPA with the Dabhol Power Company (DPC). We have had no communication from the GOM on this issue and so it would not be appropriate to comment further at this time. </w:t>
      </w:r>
    </w:p>
    <w:p>
      <w:pPr>
        <w:pStyle w:val="BodyText2"/>
        <w:rPr/>
      </w:pPr>
      <w:r>
        <w:rPr/>
      </w:r>
    </w:p>
    <w:p>
      <w:pPr>
        <w:pStyle w:val="BodyText2"/>
        <w:rPr/>
      </w:pPr>
      <w:r>
        <w:rPr/>
      </w:r>
    </w:p>
    <w:p>
      <w:pPr>
        <w:pStyle w:val="BodyText"/>
        <w:jc w:val="both"/>
        <w:rPr>
          <w:b/>
        </w:rPr>
      </w:pPr>
      <w:r>
        <w:rPr>
          <w:b/>
        </w:rPr>
        <w:t>Questions and Answers</w:t>
      </w:r>
    </w:p>
    <w:p>
      <w:pPr>
        <w:pStyle w:val="BodyText"/>
        <w:jc w:val="both"/>
        <w:rPr>
          <w:b/>
        </w:rPr>
      </w:pPr>
      <w:r>
        <w:rPr>
          <w:b/>
        </w:rPr>
      </w:r>
    </w:p>
    <w:p>
      <w:pPr>
        <w:pStyle w:val="BodyText"/>
        <w:jc w:val="both"/>
        <w:rPr>
          <w:b/>
        </w:rPr>
      </w:pPr>
      <w:r>
        <w:rPr>
          <w:b/>
        </w:rPr>
        <w:t>What is your reaction to the Chief Minister’s utterances regarding the review of the PPA with Enron? Are you willing to renegotiate the PPA?</w:t>
      </w:r>
    </w:p>
    <w:p>
      <w:pPr>
        <w:pStyle w:val="BodyText"/>
        <w:jc w:val="both"/>
        <w:rPr>
          <w:b/>
        </w:rPr>
      </w:pPr>
      <w:r>
        <w:rPr>
          <w:b/>
        </w:rPr>
      </w:r>
    </w:p>
    <w:p>
      <w:pPr>
        <w:pStyle w:val="Normal"/>
        <w:ind w:end="-540"/>
        <w:rPr>
          <w:rFonts w:ascii="Arial" w:hAnsi="Arial" w:cs="Arial"/>
          <w:sz w:val="24"/>
        </w:rPr>
      </w:pPr>
      <w:r>
        <w:rPr>
          <w:rFonts w:cs="Arial" w:ascii="Arial" w:hAnsi="Arial"/>
          <w:sz w:val="24"/>
        </w:rPr>
        <w:t>Although we are comfortable with the contractual safeguards in our existing PPA, we also want to maintain positive relationships with the GOM and GOI.  Consequently, we are always willing to discuss issues with our various stakeholders.  However, this does not necessarily mean that we will be renegotiating the contract.</w:t>
      </w:r>
    </w:p>
    <w:p>
      <w:pPr>
        <w:pStyle w:val="BodyText2"/>
        <w:rPr>
          <w:rFonts w:ascii="Arial" w:hAnsi="Arial" w:cs="Arial"/>
          <w:b w:val="false"/>
          <w:sz w:val="24"/>
        </w:rPr>
      </w:pPr>
      <w:r>
        <w:rPr>
          <w:rFonts w:cs="Arial"/>
          <w:b w:val="false"/>
          <w:sz w:val="24"/>
        </w:rPr>
      </w:r>
    </w:p>
    <w:p>
      <w:pPr>
        <w:pStyle w:val="BodyText2"/>
        <w:rPr/>
      </w:pPr>
      <w:r>
        <w:rPr/>
        <w:t>At what stage is the phase II project in and how much has been spent on it so far?</w:t>
      </w:r>
    </w:p>
    <w:p>
      <w:pPr>
        <w:pStyle w:val="Normal"/>
        <w:ind w:end="-540"/>
        <w:rPr>
          <w:rFonts w:ascii="Arial" w:hAnsi="Arial" w:cs="Arial"/>
          <w:sz w:val="24"/>
        </w:rPr>
      </w:pPr>
      <w:r>
        <w:rPr>
          <w:rFonts w:cs="Arial" w:ascii="Arial" w:hAnsi="Arial"/>
          <w:sz w:val="24"/>
        </w:rPr>
      </w:r>
    </w:p>
    <w:p>
      <w:pPr>
        <w:pStyle w:val="BodyTextIndent2"/>
        <w:ind w:start="0" w:end="0"/>
        <w:rPr>
          <w:rFonts w:ascii="Arial" w:hAnsi="Arial" w:cs="Arial"/>
          <w:color w:val="auto"/>
          <w:sz w:val="24"/>
        </w:rPr>
      </w:pPr>
      <w:r>
        <w:rPr>
          <w:rFonts w:cs="Arial" w:ascii="Arial" w:hAnsi="Arial"/>
          <w:color w:val="auto"/>
          <w:sz w:val="24"/>
        </w:rPr>
        <w:t xml:space="preserve">The work on Phase II of the project is progressing on schedule with about 80% of the project completed. Out of the total Phase II project cost of US$ 1.87 billion, approximately US$ 1.4 billion has already been accounted for. </w:t>
      </w:r>
    </w:p>
    <w:p>
      <w:pPr>
        <w:pStyle w:val="BodyTextIndent2"/>
        <w:rPr>
          <w:rFonts w:ascii="Arial" w:hAnsi="Arial" w:cs="Arial"/>
          <w:color w:val="auto"/>
          <w:sz w:val="24"/>
        </w:rPr>
      </w:pPr>
      <w:r>
        <w:rPr>
          <w:rFonts w:cs="Arial" w:ascii="Arial" w:hAnsi="Arial"/>
          <w:color w:val="auto"/>
          <w:sz w:val="24"/>
        </w:rPr>
      </w:r>
    </w:p>
    <w:p>
      <w:pPr>
        <w:pStyle w:val="BodyText"/>
        <w:rPr>
          <w:b/>
        </w:rPr>
      </w:pPr>
      <w:r>
        <w:rPr>
          <w:b/>
        </w:rPr>
        <w:t>With GOM making statements not conducive to the second phase of DPC, what would your next step be?</w:t>
      </w:r>
    </w:p>
    <w:p>
      <w:pPr>
        <w:pStyle w:val="BodyText"/>
        <w:rPr>
          <w:b/>
        </w:rPr>
      </w:pPr>
      <w:r>
        <w:rPr>
          <w:b/>
        </w:rPr>
      </w:r>
    </w:p>
    <w:p>
      <w:pPr>
        <w:pStyle w:val="BodyText"/>
        <w:rPr/>
      </w:pPr>
      <w:r>
        <w:rPr/>
        <w:t>We have not received any communication from the GOM regarding any concerns they may have with the existing PPA.  Therefore it would not be appropriate to speculate on this issue.</w:t>
      </w:r>
    </w:p>
    <w:p>
      <w:pPr>
        <w:pStyle w:val="BodyText"/>
        <w:rPr/>
      </w:pPr>
      <w:r>
        <w:rPr/>
      </w:r>
    </w:p>
    <w:p>
      <w:pPr>
        <w:pStyle w:val="BodyText"/>
        <w:rPr>
          <w:b/>
        </w:rPr>
      </w:pPr>
      <w:r>
        <w:rPr>
          <w:b/>
        </w:rPr>
        <w:t>Are you considering selling your entire stake in DPC?</w:t>
      </w:r>
    </w:p>
    <w:p>
      <w:pPr>
        <w:pStyle w:val="BodyText"/>
        <w:rPr>
          <w:b/>
        </w:rPr>
      </w:pPr>
      <w:r>
        <w:rPr>
          <w:b/>
        </w:rPr>
      </w:r>
    </w:p>
    <w:p>
      <w:pPr>
        <w:pStyle w:val="BodyText"/>
        <w:rPr/>
      </w:pPr>
      <w:r>
        <w:rPr/>
        <w:t xml:space="preserve">Enron always will consider a legitimate proposal to sell an asset if it makes strategic sense, but we are not pursuing the sale of our entire stake in DPC.  </w:t>
      </w:r>
    </w:p>
    <w:p>
      <w:pPr>
        <w:pStyle w:val="Heading1"/>
        <w:jc w:val="both"/>
        <w:rPr/>
      </w:pPr>
      <w:r>
        <w:rPr/>
      </w:r>
    </w:p>
    <w:p>
      <w:pPr>
        <w:pStyle w:val="Heading1"/>
        <w:jc w:val="both"/>
        <w:rPr>
          <w:b/>
        </w:rPr>
      </w:pPr>
      <w:r>
        <w:rPr>
          <w:b/>
        </w:rPr>
      </w:r>
    </w:p>
    <w:p>
      <w:pPr>
        <w:pStyle w:val="Heading1"/>
        <w:jc w:val="both"/>
        <w:rPr>
          <w:b/>
        </w:rPr>
      </w:pPr>
      <w:r>
        <w:rPr>
          <w:b/>
        </w:rPr>
      </w:r>
    </w:p>
    <w:p>
      <w:pPr>
        <w:pStyle w:val="Heading1"/>
        <w:jc w:val="both"/>
        <w:rPr>
          <w:b/>
        </w:rPr>
      </w:pPr>
      <w:r>
        <w:rPr>
          <w:b/>
        </w:rPr>
        <w:t>What is the unit rate of power sold to the MSEB by DPC? Is it possible that DPC power rates could touch rupees 20 per unit?</w:t>
      </w:r>
    </w:p>
    <w:p>
      <w:pPr>
        <w:pStyle w:val="Normal"/>
        <w:ind w:end="-1800"/>
        <w:jc w:val="both"/>
        <w:rPr>
          <w:rFonts w:ascii="Arial" w:hAnsi="Arial" w:eastAsia="Arial" w:cs="Arial"/>
          <w:b/>
          <w:sz w:val="24"/>
        </w:rPr>
      </w:pPr>
      <w:r>
        <w:rPr>
          <w:rFonts w:eastAsia="Arial" w:cs="Arial" w:ascii="Arial" w:hAnsi="Arial"/>
          <w:b/>
          <w:sz w:val="24"/>
        </w:rPr>
        <w:t xml:space="preserve">  </w:t>
      </w:r>
    </w:p>
    <w:p>
      <w:pPr>
        <w:pStyle w:val="Normal"/>
        <w:ind w:end="-1800"/>
        <w:jc w:val="both"/>
        <w:rPr>
          <w:rFonts w:ascii="Arial" w:hAnsi="Arial" w:cs="Arial"/>
          <w:i/>
          <w:i/>
          <w:sz w:val="24"/>
        </w:rPr>
      </w:pPr>
      <w:r>
        <w:rPr>
          <w:rFonts w:cs="Arial" w:ascii="Arial" w:hAnsi="Arial"/>
          <w:i/>
          <w:sz w:val="24"/>
        </w:rPr>
        <w:t>The tariff at which DPC power is sold to MSEB is comprised of two cost factors, a fixed capacity charge and a variable energy charge. The per unit cost of DPC power, in turn, depends on the quantity of power actually drawn by the MSEB, prevailing international crude oil prices, and the rupee / dollar exchange rate. Given the number of variables that affect the DPC unit rate, we are not in a position to speculate on a future tariff for the power generated by DPC. .</w:t>
      </w:r>
    </w:p>
    <w:p>
      <w:pPr>
        <w:pStyle w:val="Normal"/>
        <w:ind w:end="-1800"/>
        <w:jc w:val="both"/>
        <w:rPr>
          <w:rFonts w:ascii="Arial" w:hAnsi="Arial" w:eastAsia="Arial" w:cs="Arial"/>
          <w:i/>
          <w:i/>
          <w:sz w:val="24"/>
        </w:rPr>
      </w:pPr>
      <w:r>
        <w:rPr>
          <w:rFonts w:eastAsia="Arial" w:cs="Arial" w:ascii="Arial" w:hAnsi="Arial"/>
          <w:i/>
          <w:sz w:val="24"/>
        </w:rPr>
        <w:t xml:space="preserve">      </w:t>
      </w:r>
    </w:p>
    <w:p>
      <w:pPr>
        <w:pStyle w:val="BodyText"/>
        <w:jc w:val="both"/>
        <w:rPr>
          <w:b/>
        </w:rPr>
      </w:pPr>
      <w:r>
        <w:rPr>
          <w:b/>
        </w:rPr>
        <w:t>What is your response to the ongoing MERC hearing, which directs MSEB to purchase power from DPC in the last order priority?</w:t>
      </w:r>
    </w:p>
    <w:p>
      <w:pPr>
        <w:pStyle w:val="Normal"/>
        <w:ind w:end="-1800"/>
        <w:jc w:val="both"/>
        <w:rPr>
          <w:b/>
          <w:sz w:val="28"/>
        </w:rPr>
      </w:pPr>
      <w:r>
        <w:rPr>
          <w:b/>
          <w:sz w:val="28"/>
        </w:rPr>
      </w:r>
    </w:p>
    <w:p>
      <w:pPr>
        <w:pStyle w:val="BodyText2"/>
        <w:ind w:end="-1800"/>
        <w:jc w:val="both"/>
        <w:rPr>
          <w:b w:val="false"/>
        </w:rPr>
      </w:pPr>
      <w:r>
        <w:rPr>
          <w:b w:val="false"/>
        </w:rPr>
        <w:t xml:space="preserve">We understand the MSEB is adhering the merit order dispatch norms as directed by MERC. </w:t>
      </w:r>
    </w:p>
    <w:p>
      <w:pPr>
        <w:pStyle w:val="Normal"/>
        <w:ind w:end="-1800"/>
        <w:jc w:val="both"/>
        <w:rPr>
          <w:rFonts w:ascii="Arial" w:hAnsi="Arial" w:cs="Arial"/>
          <w:b/>
          <w:sz w:val="24"/>
        </w:rPr>
      </w:pPr>
      <w:r>
        <w:rPr>
          <w:rFonts w:cs="Arial" w:ascii="Arial" w:hAnsi="Arial"/>
          <w:b/>
          <w:sz w:val="24"/>
        </w:rPr>
      </w:r>
    </w:p>
    <w:p>
      <w:pPr>
        <w:pStyle w:val="Normal"/>
        <w:ind w:end="-1800"/>
        <w:jc w:val="both"/>
        <w:rPr>
          <w:rFonts w:ascii="Arial" w:hAnsi="Arial" w:cs="Arial"/>
          <w:b/>
          <w:sz w:val="24"/>
        </w:rPr>
      </w:pPr>
      <w:r>
        <w:rPr>
          <w:rFonts w:cs="Arial" w:ascii="Arial" w:hAnsi="Arial"/>
          <w:b/>
          <w:sz w:val="24"/>
        </w:rPr>
        <w:t>What is your response to the point of view that DPC tariffs are very high?</w:t>
      </w:r>
    </w:p>
    <w:p>
      <w:pPr>
        <w:pStyle w:val="Normal"/>
        <w:ind w:end="-1800"/>
        <w:jc w:val="both"/>
        <w:rPr>
          <w:rFonts w:ascii="Arial" w:hAnsi="Arial" w:cs="Arial"/>
          <w:b/>
          <w:sz w:val="24"/>
        </w:rPr>
      </w:pPr>
      <w:r>
        <w:rPr>
          <w:rFonts w:cs="Arial" w:ascii="Arial" w:hAnsi="Arial"/>
          <w:b/>
          <w:sz w:val="24"/>
        </w:rPr>
      </w:r>
    </w:p>
    <w:p>
      <w:pPr>
        <w:pStyle w:val="Normal"/>
        <w:rPr>
          <w:rFonts w:ascii="Arial" w:hAnsi="Arial" w:cs="Arial"/>
          <w:i/>
          <w:i/>
          <w:color w:val="000000"/>
          <w:sz w:val="24"/>
          <w:lang w:eastAsia="en-US"/>
        </w:rPr>
      </w:pPr>
      <w:r>
        <w:rPr>
          <w:rFonts w:cs="Arial" w:ascii="Arial" w:hAnsi="Arial"/>
          <w:i/>
          <w:color w:val="000000"/>
          <w:sz w:val="24"/>
          <w:lang w:eastAsia="en-US"/>
        </w:rPr>
        <w:t xml:space="preserve">We are aware that the cost of power to the consumer has increased due to the rising cost of international liquid fuels, the depreciation of the Indian rupee and losses in other parts of the transmission system. Moreover, the per unit cost of power delivered by DPC varies according to the level at which the Dabhol plant is dispatched by MSEB. Enron and DPC are committed to working with the MSEB to address the pricing issue in a manner that is fair to the investor, the utility and the consumer. </w:t>
      </w:r>
    </w:p>
    <w:p>
      <w:pPr>
        <w:pStyle w:val="Normal"/>
        <w:rPr>
          <w:rFonts w:ascii="Arial" w:hAnsi="Arial" w:cs="Arial"/>
          <w:i/>
          <w:i/>
          <w:color w:val="000000"/>
          <w:sz w:val="24"/>
          <w:lang w:eastAsia="en-US"/>
        </w:rPr>
      </w:pPr>
      <w:r>
        <w:rPr>
          <w:rFonts w:cs="Arial" w:ascii="Arial" w:hAnsi="Arial"/>
          <w:i/>
          <w:color w:val="000000"/>
          <w:sz w:val="24"/>
          <w:lang w:eastAsia="en-US"/>
        </w:rPr>
      </w:r>
    </w:p>
    <w:p>
      <w:pPr>
        <w:pStyle w:val="Normal"/>
        <w:rPr>
          <w:rFonts w:ascii="Arial" w:hAnsi="Arial" w:cs="Arial"/>
        </w:rPr>
      </w:pPr>
      <w:r>
        <w:rPr>
          <w:rFonts w:cs="Arial" w:ascii="Arial" w:hAnsi="Arial"/>
          <w:color w:val="000000"/>
          <w:sz w:val="24"/>
          <w:lang w:eastAsia="en-US"/>
        </w:rPr>
        <w:t xml:space="preserve">One such solution is Dabhol’s transition to using LNG fuel over the next 12 to 14 months. LNG is recognized as a less expensive and environmentally friendly fuel than other fuel sources such as naphtha and distillate. </w:t>
      </w:r>
    </w:p>
    <w:p>
      <w:pPr>
        <w:pStyle w:val="Normal"/>
        <w:ind w:end="-1800"/>
        <w:jc w:val="both"/>
        <w:rPr>
          <w:rFonts w:ascii="Arial" w:hAnsi="Arial" w:cs="Arial"/>
          <w:sz w:val="24"/>
        </w:rPr>
      </w:pPr>
      <w:r>
        <w:rPr>
          <w:rFonts w:cs="Arial" w:ascii="Arial" w:hAnsi="Arial"/>
          <w:sz w:val="24"/>
        </w:rPr>
      </w:r>
    </w:p>
    <w:p>
      <w:pPr>
        <w:pStyle w:val="Normal"/>
        <w:ind w:end="-1800"/>
        <w:jc w:val="both"/>
        <w:rPr>
          <w:rFonts w:ascii="Arial" w:hAnsi="Arial" w:cs="Arial"/>
          <w:b/>
          <w:sz w:val="24"/>
        </w:rPr>
      </w:pPr>
      <w:r>
        <w:rPr>
          <w:rFonts w:cs="Arial" w:ascii="Arial" w:hAnsi="Arial"/>
          <w:b/>
          <w:sz w:val="24"/>
        </w:rPr>
        <w:t>Why does MSEB continue to buy from DPC despite the tariffs being higher?</w:t>
      </w:r>
    </w:p>
    <w:p>
      <w:pPr>
        <w:pStyle w:val="Normal"/>
        <w:ind w:end="-1800"/>
        <w:jc w:val="both"/>
        <w:rPr>
          <w:rFonts w:ascii="Arial" w:hAnsi="Arial" w:cs="Arial"/>
          <w:b/>
          <w:sz w:val="24"/>
        </w:rPr>
      </w:pPr>
      <w:r>
        <w:rPr>
          <w:rFonts w:cs="Arial" w:ascii="Arial" w:hAnsi="Arial"/>
          <w:b/>
          <w:sz w:val="24"/>
        </w:rPr>
      </w:r>
    </w:p>
    <w:p>
      <w:pPr>
        <w:pStyle w:val="Normal"/>
        <w:ind w:end="-1800"/>
        <w:jc w:val="both"/>
        <w:rPr>
          <w:rFonts w:ascii="Arial" w:hAnsi="Arial" w:cs="Arial"/>
          <w:i/>
          <w:i/>
          <w:sz w:val="24"/>
        </w:rPr>
      </w:pPr>
      <w:r>
        <w:rPr>
          <w:rFonts w:cs="Arial" w:ascii="Arial" w:hAnsi="Arial"/>
          <w:i/>
          <w:sz w:val="24"/>
        </w:rPr>
        <w:t>DPC provides reliable and consistent power to the MSEB per the terms of the PPA in order to meet system demand in Maharashtra.</w:t>
      </w:r>
    </w:p>
    <w:p>
      <w:pPr>
        <w:pStyle w:val="Normal"/>
        <w:ind w:end="-1800"/>
        <w:jc w:val="both"/>
        <w:rPr>
          <w:rFonts w:ascii="Arial" w:hAnsi="Arial" w:cs="Arial"/>
          <w:b/>
          <w:i/>
          <w:i/>
          <w:sz w:val="24"/>
        </w:rPr>
      </w:pPr>
      <w:r>
        <w:rPr>
          <w:rFonts w:cs="Arial" w:ascii="Arial" w:hAnsi="Arial"/>
          <w:b/>
          <w:i/>
          <w:sz w:val="24"/>
        </w:rPr>
      </w:r>
    </w:p>
    <w:p>
      <w:pPr>
        <w:pStyle w:val="Normal"/>
        <w:ind w:end="-1800"/>
        <w:jc w:val="both"/>
        <w:rPr>
          <w:rFonts w:ascii="Arial" w:hAnsi="Arial" w:cs="Arial"/>
          <w:b/>
          <w:sz w:val="24"/>
        </w:rPr>
      </w:pPr>
      <w:r>
        <w:rPr>
          <w:rFonts w:cs="Arial" w:ascii="Arial" w:hAnsi="Arial"/>
          <w:b/>
          <w:sz w:val="24"/>
        </w:rPr>
        <w:t>When MERC has directed that the unit cost of DPC’s power should not exceed Rs. 5.68 per unit, is not DPC’s tariff exceeding the upper limit of the unit price of power that is chargeable to MSEB?</w:t>
      </w:r>
    </w:p>
    <w:p>
      <w:pPr>
        <w:pStyle w:val="Normal"/>
        <w:ind w:end="-1800"/>
        <w:jc w:val="both"/>
        <w:rPr>
          <w:rFonts w:ascii="Arial" w:hAnsi="Arial" w:cs="Arial"/>
          <w:b/>
          <w:sz w:val="24"/>
        </w:rPr>
      </w:pPr>
      <w:r>
        <w:rPr>
          <w:rFonts w:cs="Arial" w:ascii="Arial" w:hAnsi="Arial"/>
          <w:b/>
          <w:sz w:val="24"/>
        </w:rPr>
      </w:r>
    </w:p>
    <w:p>
      <w:pPr>
        <w:pStyle w:val="BodyText"/>
        <w:rPr>
          <w:i/>
          <w:i/>
        </w:rPr>
      </w:pPr>
      <w:r>
        <w:rPr>
          <w:i/>
        </w:rPr>
        <w:t>We are not directly involved in this issue.  Since the matter is under consideration by MERC and MSEB, it would not be appropriate for us to comment.</w:t>
      </w:r>
    </w:p>
    <w:p>
      <w:pPr>
        <w:pStyle w:val="BodyText"/>
        <w:rPr>
          <w:i/>
          <w:i/>
        </w:rPr>
      </w:pPr>
      <w:r>
        <w:rPr>
          <w:i/>
        </w:rPr>
      </w:r>
    </w:p>
    <w:p>
      <w:pPr>
        <w:pStyle w:val="Normal"/>
        <w:spacing w:lineRule="atLeast" w:line="240"/>
        <w:rPr>
          <w:rFonts w:ascii="Arial" w:hAnsi="Arial" w:cs="Arial"/>
          <w:b/>
          <w:i/>
          <w:i/>
          <w:color w:val="000000"/>
          <w:sz w:val="24"/>
          <w:lang w:eastAsia="en-US"/>
        </w:rPr>
      </w:pPr>
      <w:r>
        <w:rPr>
          <w:rFonts w:cs="Arial" w:ascii="Arial" w:hAnsi="Arial"/>
          <w:b/>
          <w:i/>
          <w:color w:val="000000"/>
          <w:sz w:val="24"/>
          <w:lang w:eastAsia="en-US"/>
        </w:rPr>
        <w:t>Do you expect Enron to become involved in a legal dispute like it did in 1995?</w:t>
      </w:r>
    </w:p>
    <w:p>
      <w:pPr>
        <w:pStyle w:val="Normal"/>
        <w:spacing w:lineRule="atLeast" w:line="240"/>
        <w:rPr>
          <w:rFonts w:ascii="Arial" w:hAnsi="Arial" w:cs="Arial"/>
          <w:b/>
          <w:i/>
          <w:i/>
          <w:color w:val="000000"/>
          <w:sz w:val="24"/>
          <w:lang w:eastAsia="en-US"/>
        </w:rPr>
      </w:pPr>
      <w:r>
        <w:rPr>
          <w:rFonts w:cs="Arial" w:ascii="Arial" w:hAnsi="Arial"/>
          <w:b/>
          <w:i/>
          <w:color w:val="000000"/>
          <w:sz w:val="24"/>
          <w:lang w:eastAsia="en-US"/>
        </w:rPr>
      </w:r>
    </w:p>
    <w:p>
      <w:pPr>
        <w:pStyle w:val="Normal"/>
        <w:spacing w:lineRule="atLeast" w:line="240"/>
        <w:rPr>
          <w:rFonts w:ascii="Arial" w:hAnsi="Arial" w:cs="Arial"/>
          <w:i/>
          <w:i/>
          <w:color w:val="000000"/>
          <w:sz w:val="24"/>
          <w:lang w:eastAsia="en-US"/>
        </w:rPr>
      </w:pPr>
      <w:r>
        <w:rPr>
          <w:rFonts w:cs="Arial" w:ascii="Arial" w:hAnsi="Arial"/>
          <w:i/>
          <w:color w:val="000000"/>
          <w:sz w:val="24"/>
          <w:lang w:eastAsia="en-US"/>
        </w:rPr>
        <w:t>The circumstances are completely different.  In 1995, the GOM had repudiated the contract and we had no alternative but to take legal action.  In the current situation, strong security provisions back the contract and we fully expect to resolve the issue through positive dialogue with the relevant parties.</w:t>
      </w:r>
    </w:p>
    <w:p>
      <w:pPr>
        <w:pStyle w:val="Normal"/>
        <w:spacing w:lineRule="atLeast" w:line="240"/>
        <w:rPr>
          <w:rFonts w:ascii="Arial" w:hAnsi="Arial" w:cs="Arial"/>
          <w:i/>
          <w:i/>
          <w:color w:val="000000"/>
          <w:sz w:val="24"/>
          <w:lang w:eastAsia="en-US"/>
        </w:rPr>
      </w:pPr>
      <w:r>
        <w:rPr>
          <w:rFonts w:cs="Arial" w:ascii="Arial" w:hAnsi="Arial"/>
          <w:i/>
          <w:color w:val="000000"/>
          <w:sz w:val="24"/>
          <w:lang w:eastAsia="en-US"/>
        </w:rPr>
      </w:r>
    </w:p>
    <w:sectPr>
      <w:type w:val="nextPage"/>
      <w:pgSz w:w="12240" w:h="15840"/>
      <w:pgMar w:left="1800" w:right="244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0"/>
      <w:outlineLvl w:val="0"/>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54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540"/>
    </w:pPr>
    <w:rPr>
      <w:rFonts w:ascii="Arial" w:hAnsi="Arial" w:cs="Arial"/>
      <w:b/>
      <w:sz w:val="24"/>
    </w:rPr>
  </w:style>
  <w:style w:type="paragraph" w:styleId="BodyText3">
    <w:name w:val="Body Text 3"/>
    <w:basedOn w:val="Normal"/>
    <w:qFormat/>
    <w:pPr>
      <w:ind w:hanging="0" w:start="0" w:end="-1800"/>
      <w:jc w:val="both"/>
    </w:pPr>
    <w:rPr>
      <w:rFonts w:ascii="Arial" w:hAnsi="Arial" w:cs="Arial"/>
      <w:sz w:val="24"/>
    </w:rPr>
  </w:style>
  <w:style w:type="paragraph" w:styleId="BodyTextIndent2">
    <w:name w:val="Body Text Indent 2"/>
    <w:basedOn w:val="Normal"/>
    <w:qFormat/>
    <w:pPr>
      <w:spacing w:lineRule="atLeast" w:line="240"/>
      <w:ind w:hanging="0" w:start="36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2000-11-29T22:07:00Z</dcterms:created>
  <dc:creator>Vijay Vancheswar</dc:creator>
  <dc:description/>
  <dc:language>en-CA</dc:language>
  <cp:lastModifiedBy>Enron</cp:lastModifiedBy>
  <cp:lastPrinted>2000-11-27T13:20:00Z</cp:lastPrinted>
  <dcterms:modified xsi:type="dcterms:W3CDTF">2000-11-29T22:07:00Z</dcterms:modified>
  <cp:revision>2</cp:revision>
  <dc:subject/>
  <dc:title>Q1</dc:title>
</cp:coreProperties>
</file>