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rPr>
          <w:b/>
        </w:rPr>
      </w:pPr>
      <w:r>
        <w:rPr>
          <w:b/>
        </w:rPr>
        <w:t>Please define the Dow Jones Index that you propose be used.</w:t>
      </w:r>
    </w:p>
    <w:p>
      <w:pPr>
        <w:pStyle w:val="Normal"/>
        <w:rPr>
          <w:b/>
        </w:rPr>
      </w:pPr>
      <w:r>
        <w:rPr>
          <w:b/>
        </w:rPr>
      </w:r>
    </w:p>
    <w:p>
      <w:pPr>
        <w:pStyle w:val="Normal"/>
        <w:rPr/>
      </w:pPr>
      <w:r>
        <w:rPr/>
        <w:t>A.</w:t>
      </w:r>
    </w:p>
    <w:p>
      <w:pPr>
        <w:pStyle w:val="Normal"/>
        <w:rPr/>
      </w:pPr>
      <w:r>
        <w:rPr/>
        <w:t>We propose that the Dow Jones NP15 and SP15 indexes should be used to provide marginal cost price signals.</w:t>
      </w:r>
    </w:p>
    <w:p>
      <w:pPr>
        <w:pStyle w:val="Normal"/>
        <w:rPr/>
      </w:pPr>
      <w:r>
        <w:rPr/>
      </w:r>
    </w:p>
    <w:p>
      <w:pPr>
        <w:pStyle w:val="Normal"/>
        <w:rPr/>
      </w:pPr>
      <w:r>
        <w:rPr/>
        <w:t>These indexes are published in the Wall Street Journal on a daily basis.  We propose that these Firm Daily Indexes be used, because they represent energy prices for energy that will be consumed on the same day the prices are published.</w:t>
      </w:r>
    </w:p>
    <w:p>
      <w:pPr>
        <w:pStyle w:val="Normal"/>
        <w:rPr/>
      </w:pPr>
      <w:r>
        <w:rPr/>
      </w:r>
    </w:p>
    <w:p>
      <w:pPr>
        <w:pStyle w:val="Normal"/>
        <w:rPr/>
      </w:pPr>
      <w:r>
        <w:rPr/>
        <w:t>The indexes are calculated based on real energy transactions.  They possess the following attributes necessary for price signalling:</w:t>
      </w:r>
    </w:p>
    <w:p>
      <w:pPr>
        <w:pStyle w:val="Normal"/>
        <w:numPr>
          <w:ilvl w:val="0"/>
          <w:numId w:val="3"/>
        </w:numPr>
        <w:tabs>
          <w:tab w:val="left" w:pos="720" w:leader="none"/>
        </w:tabs>
        <w:ind w:hanging="360" w:start="720" w:end="0"/>
        <w:rPr/>
      </w:pPr>
      <w:r>
        <w:rPr/>
        <w:t>There are on-peak, off-peak and weekend prices.</w:t>
      </w:r>
    </w:p>
    <w:p>
      <w:pPr>
        <w:pStyle w:val="Normal"/>
        <w:numPr>
          <w:ilvl w:val="0"/>
          <w:numId w:val="3"/>
        </w:numPr>
        <w:tabs>
          <w:tab w:val="left" w:pos="720" w:leader="none"/>
        </w:tabs>
        <w:ind w:hanging="360" w:start="720" w:end="0"/>
        <w:rPr/>
      </w:pPr>
      <w:r>
        <w:rPr/>
        <w:t>Publicly available</w:t>
      </w:r>
    </w:p>
    <w:p>
      <w:pPr>
        <w:pStyle w:val="Normal"/>
        <w:numPr>
          <w:ilvl w:val="0"/>
          <w:numId w:val="3"/>
        </w:numPr>
        <w:tabs>
          <w:tab w:val="left" w:pos="720" w:leader="none"/>
        </w:tabs>
        <w:ind w:hanging="360" w:start="720" w:end="0"/>
        <w:rPr/>
      </w:pPr>
      <w:r>
        <w:rPr/>
        <w:t xml:space="preserve">The prices are available before the energy is consumed (after the prices have been set -- in the day-ahead market only -- which is a better indicator anyway, see below).  </w:t>
      </w:r>
    </w:p>
    <w:p>
      <w:pPr>
        <w:pStyle w:val="Normal"/>
        <w:numPr>
          <w:ilvl w:val="0"/>
          <w:numId w:val="3"/>
        </w:numPr>
        <w:tabs>
          <w:tab w:val="left" w:pos="720" w:leader="none"/>
        </w:tabs>
        <w:ind w:hanging="360" w:start="720" w:end="0"/>
        <w:rPr/>
      </w:pPr>
      <w:r>
        <w:rPr/>
        <w:t>Representative of the real cost of energy that will be incurred by the DWR</w:t>
      </w:r>
    </w:p>
    <w:p>
      <w:pPr>
        <w:pStyle w:val="Normal"/>
        <w:rPr/>
      </w:pPr>
      <w:r>
        <w:rPr/>
      </w:r>
    </w:p>
    <w:p>
      <w:pPr>
        <w:pStyle w:val="Normal"/>
        <w:numPr>
          <w:ilvl w:val="0"/>
          <w:numId w:val="1"/>
        </w:numPr>
        <w:rPr>
          <w:b/>
        </w:rPr>
      </w:pPr>
      <w:r>
        <w:rPr>
          <w:b/>
        </w:rPr>
        <w:t>What other prices are paid for energy purchases?</w:t>
      </w:r>
    </w:p>
    <w:p>
      <w:pPr>
        <w:pStyle w:val="Normal"/>
        <w:rPr>
          <w:b/>
        </w:rPr>
      </w:pPr>
      <w:r>
        <w:rPr>
          <w:b/>
        </w:rPr>
      </w:r>
    </w:p>
    <w:p>
      <w:pPr>
        <w:pStyle w:val="Normal"/>
        <w:rPr/>
      </w:pPr>
      <w:r>
        <w:rPr/>
        <w:t>A.</w:t>
      </w:r>
    </w:p>
    <w:p>
      <w:pPr>
        <w:pStyle w:val="Normal"/>
        <w:rPr/>
      </w:pPr>
      <w:r>
        <w:rPr/>
        <w:t xml:space="preserve">In general, one can differentiate between day-ahead and hour-ahead markets for energy.  The day-ahead market is the market represented by the Dow Jones indexes.  Trades in this market are based on daily forecasts of weather and load.  </w:t>
      </w:r>
    </w:p>
    <w:p>
      <w:pPr>
        <w:pStyle w:val="Normal"/>
        <w:rPr/>
      </w:pPr>
      <w:r>
        <w:rPr/>
      </w:r>
    </w:p>
    <w:p>
      <w:pPr>
        <w:pStyle w:val="Normal"/>
        <w:rPr/>
      </w:pPr>
      <w:r>
        <w:rPr/>
        <w:t>The hour-ahead market will be used by buyers and sellers who are looking to make up shortfalls in load and supply.  This market is more volatile.</w:t>
      </w:r>
    </w:p>
    <w:p>
      <w:pPr>
        <w:pStyle w:val="Normal"/>
        <w:rPr/>
      </w:pPr>
      <w:r>
        <w:rPr/>
      </w:r>
    </w:p>
    <w:p>
      <w:pPr>
        <w:pStyle w:val="Normal"/>
        <w:rPr/>
      </w:pPr>
      <w:r>
        <w:rPr/>
        <w:t>The day-ahead market is the more appropriate market to use for sending price signals to energy consumers because it will not contain the distortions in prices that are present in the hour-ahead market.  The day-ahead market also allows time for customers to respond to market price signals.  (Ed Laske of CEC agrees with this point, CEC Evidence p.6)</w:t>
      </w:r>
    </w:p>
    <w:p>
      <w:pPr>
        <w:pStyle w:val="Normal"/>
        <w:rPr/>
      </w:pPr>
      <w:r>
        <w:rPr/>
      </w:r>
    </w:p>
    <w:p>
      <w:pPr>
        <w:pStyle w:val="Normal"/>
        <w:rPr>
          <w:b/>
        </w:rPr>
      </w:pPr>
      <w:r>
        <w:rPr>
          <w:b/>
        </w:rPr>
        <w:t>Q.  Why not use the imbalance prices used by California's ISO?</w:t>
      </w:r>
    </w:p>
    <w:p>
      <w:pPr>
        <w:pStyle w:val="Normal"/>
        <w:rPr>
          <w:b/>
        </w:rPr>
      </w:pPr>
      <w:r>
        <w:rPr>
          <w:b/>
        </w:rPr>
      </w:r>
    </w:p>
    <w:p>
      <w:pPr>
        <w:pStyle w:val="Normal"/>
        <w:rPr/>
      </w:pPr>
      <w:r>
        <w:rPr/>
        <w:t>A.</w:t>
      </w:r>
    </w:p>
    <w:p>
      <w:pPr>
        <w:pStyle w:val="Normal"/>
        <w:rPr/>
      </w:pPr>
      <w:r>
        <w:rPr/>
        <w:t>The California ISO publishes a number of energy prices related to their imbalance energy purchases.</w:t>
      </w:r>
    </w:p>
    <w:p>
      <w:pPr>
        <w:pStyle w:val="Normal"/>
        <w:rPr/>
      </w:pPr>
      <w:r>
        <w:rPr/>
      </w:r>
    </w:p>
    <w:p>
      <w:pPr>
        <w:pStyle w:val="Normal"/>
        <w:rPr/>
      </w:pPr>
      <w:r>
        <w:rPr/>
        <w:t xml:space="preserve">They publish daily averages for </w:t>
      </w:r>
    </w:p>
    <w:p>
      <w:pPr>
        <w:pStyle w:val="Normal"/>
        <w:numPr>
          <w:ilvl w:val="0"/>
          <w:numId w:val="4"/>
        </w:numPr>
        <w:rPr/>
      </w:pPr>
      <w:r>
        <w:rPr/>
        <w:t>The market clearing price</w:t>
      </w:r>
    </w:p>
    <w:p>
      <w:pPr>
        <w:pStyle w:val="Normal"/>
        <w:ind w:start="720" w:end="0"/>
        <w:rPr/>
      </w:pPr>
      <w:r>
        <w:rPr/>
        <w:t>This price is paid to generators up to the $150/MWh soft cap.</w:t>
      </w:r>
    </w:p>
    <w:p>
      <w:pPr>
        <w:pStyle w:val="Normal"/>
        <w:numPr>
          <w:ilvl w:val="0"/>
          <w:numId w:val="4"/>
        </w:numPr>
        <w:rPr/>
      </w:pPr>
      <w:r>
        <w:rPr/>
        <w:t>Bid market cost</w:t>
      </w:r>
    </w:p>
    <w:p>
      <w:pPr>
        <w:pStyle w:val="Normal"/>
        <w:ind w:start="720" w:end="0"/>
        <w:rPr/>
      </w:pPr>
      <w:r>
        <w:rPr/>
        <w:t>This price is paid to generators who bid into the market and who can justify costs greater than the soft cap.</w:t>
      </w:r>
    </w:p>
    <w:p>
      <w:pPr>
        <w:pStyle w:val="Normal"/>
        <w:numPr>
          <w:ilvl w:val="0"/>
          <w:numId w:val="4"/>
        </w:numPr>
        <w:rPr/>
      </w:pPr>
      <w:r>
        <w:rPr/>
        <w:t>Out of market cost</w:t>
      </w:r>
    </w:p>
    <w:p>
      <w:pPr>
        <w:pStyle w:val="Normal"/>
        <w:ind w:start="720" w:end="0"/>
        <w:rPr/>
      </w:pPr>
      <w:r>
        <w:rPr/>
        <w:t>This price is paid to generators whose generation must be solicited, i.e. out-of-market.  The prices can be much higher than the bid market cost.</w:t>
      </w:r>
    </w:p>
    <w:p>
      <w:pPr>
        <w:pStyle w:val="Normal"/>
        <w:ind w:start="720" w:end="0"/>
        <w:rPr/>
      </w:pPr>
      <w:r>
        <w:rPr/>
      </w:r>
    </w:p>
    <w:p>
      <w:pPr>
        <w:pStyle w:val="Normal"/>
        <w:rPr/>
      </w:pPr>
      <w:r>
        <w:rPr/>
        <w:t>For example, the prices quoted for April 11, 2001 show that of the 45,404 MWhs purchased by the ISO (out of the total 598,236 MWh required to serve the load) 42,874 MWh (94% of ISO purchases) were purchased out-of-market at an average price of $520.71/MWh.</w:t>
      </w:r>
    </w:p>
    <w:p>
      <w:pPr>
        <w:pStyle w:val="Normal"/>
        <w:rPr/>
      </w:pPr>
      <w:r>
        <w:rPr/>
      </w:r>
    </w:p>
    <w:p>
      <w:pPr>
        <w:pStyle w:val="Normal"/>
        <w:rPr/>
      </w:pPr>
      <w:r>
        <w:rPr/>
        <w:t>[Note to draft:</w:t>
      </w:r>
    </w:p>
    <w:p>
      <w:pPr>
        <w:pStyle w:val="Normal"/>
        <w:rPr/>
      </w:pPr>
      <w:r>
        <w:rPr/>
        <w:t xml:space="preserve">There may be some problem obtaining the ISO data.  The energy prices were "Temporarily Suspended" on the web site at </w:t>
      </w:r>
      <w:hyperlink r:id="rId2">
        <w:r>
          <w:rPr>
            <w:rStyle w:val="Hyperlink"/>
          </w:rPr>
          <w:t>http://www.caiso.com/prices</w:t>
        </w:r>
      </w:hyperlink>
      <w:r>
        <w:rPr/>
        <w:t xml:space="preserve">.  I was also unable to get data from the other ISO web-site location, </w:t>
      </w:r>
      <w:hyperlink r:id="rId3">
        <w:r>
          <w:rPr>
            <w:rStyle w:val="Hyperlink"/>
          </w:rPr>
          <w:t>http://www.caiso.com/marketops/OASIS/pubmkt2.html</w:t>
        </w:r>
      </w:hyperlink>
      <w:r>
        <w:rPr/>
        <w:t>)</w:t>
      </w:r>
    </w:p>
    <w:p>
      <w:pPr>
        <w:pStyle w:val="Normal"/>
        <w:rPr/>
      </w:pPr>
      <w:r>
        <w:rPr/>
      </w:r>
    </w:p>
    <w:p>
      <w:pPr>
        <w:pStyle w:val="Normal"/>
        <w:rPr/>
      </w:pPr>
      <w:r>
        <w:rPr/>
      </w:r>
    </w:p>
    <w:p>
      <w:pPr>
        <w:pStyle w:val="Normal"/>
        <w:rPr/>
      </w:pPr>
      <w:r>
        <w:rPr/>
      </w:r>
      <w:r>
        <w:br w:type="page"/>
      </w:r>
    </w:p>
    <w:p>
      <w:pPr>
        <w:pStyle w:val="Normal"/>
        <w:rPr/>
      </w:pPr>
      <w:r>
        <w:rPr/>
        <w:t>DOW JONES INDEX</w:t>
      </w:r>
    </w:p>
    <w:p>
      <w:pPr>
        <w:pStyle w:val="Normal"/>
        <w:rPr/>
      </w:pPr>
      <w:r>
        <w:rPr/>
      </w:r>
    </w:p>
    <w:p>
      <w:pPr>
        <w:pStyle w:val="Normal"/>
        <w:rPr>
          <w:b/>
          <w:i/>
          <w:i/>
        </w:rPr>
      </w:pPr>
      <w:r>
        <w:rPr>
          <w:b/>
          <w:i/>
        </w:rPr>
        <w:t>Quotes from promotional material:</w:t>
      </w:r>
    </w:p>
    <w:p>
      <w:pPr>
        <w:pStyle w:val="Normal"/>
        <w:rPr>
          <w:b/>
          <w:i/>
          <w:i/>
        </w:rPr>
      </w:pPr>
      <w:r>
        <w:rPr>
          <w:b/>
          <w:i/>
        </w:rPr>
      </w:r>
    </w:p>
    <w:p>
      <w:pPr>
        <w:pStyle w:val="Normal"/>
        <w:rPr/>
      </w:pPr>
      <w:r>
        <w:rPr/>
        <w:t>The Dow Jones NP15 &amp; SP15 Electricity Price Indexes are volume-weighted averages of specifically defined bilateral, wholesale, physical transactions.  Calculations for these indexes average together power transactions from NP15 for one index and SP15 for the other.  Both in California.</w:t>
      </w:r>
    </w:p>
    <w:p>
      <w:pPr>
        <w:pStyle w:val="Normal"/>
        <w:rPr/>
      </w:pPr>
      <w:r>
        <w:rPr/>
      </w:r>
    </w:p>
    <w:p>
      <w:pPr>
        <w:pStyle w:val="Normal"/>
        <w:rPr/>
      </w:pPr>
      <w:r>
        <w:rPr/>
        <w:t>Index participants provide Dow Jones with their daily volume weighted average prices and total volumes for eligible electricity products sold at the NP15 &amp; SP15 delivery points, as well as with any purchases made from entities not contributing to the indexes.</w:t>
      </w:r>
    </w:p>
    <w:p>
      <w:pPr>
        <w:pStyle w:val="Normal"/>
        <w:rPr/>
      </w:pPr>
      <w:r>
        <w:rPr/>
      </w:r>
    </w:p>
    <w:p>
      <w:pPr>
        <w:pStyle w:val="Normal"/>
        <w:rPr/>
      </w:pPr>
      <w:r>
        <w:rPr/>
        <w:t>Participants provide Dow Jones with daily index data by 10 a.m. Pacific Time, on the day power is flowing for the firm indexes.  Although NP15 &amp; SP15 electricity indexes will be calculated for 365 days of the year, publication will occur only on business days.  If a holiday falls during the week, data should be transmitted to Dow Jones on the first business day following a break.</w:t>
      </w:r>
    </w:p>
    <w:p>
      <w:pPr>
        <w:pStyle w:val="Normal"/>
        <w:rPr/>
      </w:pPr>
      <w:r>
        <w:rPr/>
      </w:r>
    </w:p>
    <w:p>
      <w:pPr>
        <w:pStyle w:val="Normal"/>
        <w:rPr/>
      </w:pPr>
      <w:r>
        <w:rPr>
          <w:b/>
        </w:rPr>
        <w:t>Firm Daily Indexes</w:t>
      </w:r>
      <w:r>
        <w:rPr/>
        <w:t xml:space="preserve">: </w:t>
      </w:r>
      <w:r>
        <w:rPr>
          <w:u w:val="single"/>
        </w:rPr>
        <w:t>The firm daily indexes average together blocks of power</w:t>
      </w:r>
      <w:r>
        <w:rPr/>
        <w:t xml:space="preserve"> sold on a one-day forward pre-scheduled basis.  </w:t>
      </w:r>
      <w:r>
        <w:rPr>
          <w:u w:val="single"/>
        </w:rPr>
        <w:t>No real-time power is included in these indexes.</w:t>
      </w:r>
      <w:r>
        <w:rPr/>
        <w:t xml:space="preserve">  Transactions are limited to power traded in 16-hour blocks during on-peak hours and 8-hour blocks for off-peak.  Transactions which call for delivery for more than one day are not included in calculations for these indexes.  Volume should be reported to Dow Jones as total megawatts transacted per hour.</w:t>
      </w:r>
    </w:p>
    <w:p>
      <w:pPr>
        <w:pStyle w:val="Normal"/>
        <w:rPr/>
      </w:pPr>
      <w:r>
        <w:rPr/>
      </w:r>
    </w:p>
    <w:p>
      <w:pPr>
        <w:pStyle w:val="Normal"/>
        <w:rPr/>
      </w:pPr>
      <w:r>
        <w:rPr/>
        <w:t>On-peak Hours:  Hours ending 0700 - 2200 (6 am - 10 pm) Pacific Time, six days a week (Monday to Saturday).</w:t>
      </w:r>
    </w:p>
    <w:p>
      <w:pPr>
        <w:pStyle w:val="Normal"/>
        <w:rPr/>
      </w:pPr>
      <w:r>
        <w:rPr/>
      </w:r>
    </w:p>
    <w:p>
      <w:pPr>
        <w:pStyle w:val="Normal"/>
        <w:rPr/>
      </w:pPr>
      <w:r>
        <w:rPr/>
        <w:t>Off-peak Hours:  Remaining hours.</w:t>
      </w:r>
    </w:p>
    <w:p>
      <w:pPr>
        <w:pStyle w:val="Normal"/>
        <w:rPr/>
      </w:pPr>
      <w:r>
        <w:rPr/>
      </w:r>
    </w:p>
    <w:p>
      <w:pPr>
        <w:pStyle w:val="Normal"/>
        <w:rPr/>
      </w:pPr>
      <w:r>
        <w:rPr/>
        <w:t>Firm Energy:  Firm energy is defined as meeting a minimum criteria of being financially firm and back with liquidating damages.</w:t>
      </w:r>
    </w:p>
    <w:p>
      <w:pPr>
        <w:pStyle w:val="Normal"/>
        <w:rPr/>
      </w:pPr>
      <w:r>
        <w:rPr/>
      </w:r>
    </w:p>
    <w:p>
      <w:pPr>
        <w:pStyle w:val="Normal"/>
        <w:rPr>
          <w:b/>
          <w:i/>
          <w:i/>
        </w:rPr>
      </w:pPr>
      <w:r>
        <w:rPr>
          <w:b/>
          <w:i/>
        </w:rPr>
        <w:t>Example.</w:t>
      </w:r>
    </w:p>
    <w:p>
      <w:pPr>
        <w:pStyle w:val="Normal"/>
        <w:tabs>
          <w:tab w:val="clear" w:pos="720"/>
          <w:tab w:val="center" w:pos="2880" w:leader="none"/>
          <w:tab w:val="left" w:pos="4680" w:leader="none"/>
        </w:tabs>
        <w:rPr/>
      </w:pPr>
      <w:r>
        <w:rPr>
          <w:u w:val="single"/>
        </w:rPr>
        <w:t>Trading Day</w:t>
      </w:r>
      <w:r>
        <w:rPr/>
        <w:tab/>
      </w:r>
      <w:r>
        <w:rPr>
          <w:u w:val="single"/>
        </w:rPr>
        <w:t>Energy Delivered On</w:t>
      </w:r>
      <w:r>
        <w:rPr/>
        <w:tab/>
      </w:r>
      <w:r>
        <w:rPr>
          <w:u w:val="single"/>
        </w:rPr>
        <w:t>Day Published in Newspaper</w:t>
      </w:r>
    </w:p>
    <w:p>
      <w:pPr>
        <w:pStyle w:val="Normal"/>
        <w:tabs>
          <w:tab w:val="clear" w:pos="720"/>
          <w:tab w:val="center" w:pos="2880" w:leader="none"/>
          <w:tab w:val="center" w:pos="5760" w:leader="none"/>
        </w:tabs>
        <w:rPr/>
      </w:pPr>
      <w:r>
        <w:rPr/>
        <w:t>Monday</w:t>
        <w:tab/>
        <w:t>Tuesday</w:t>
        <w:tab/>
        <w:t>Tuesday</w:t>
      </w:r>
    </w:p>
    <w:p>
      <w:pPr>
        <w:pStyle w:val="Normal"/>
        <w:tabs>
          <w:tab w:val="clear" w:pos="720"/>
          <w:tab w:val="center" w:pos="2880" w:leader="none"/>
          <w:tab w:val="center" w:pos="5760" w:leader="none"/>
        </w:tabs>
        <w:rPr/>
      </w:pPr>
      <w:r>
        <w:rPr/>
        <w:t>Tuesday</w:t>
        <w:tab/>
        <w:t>Wednesday</w:t>
        <w:tab/>
        <w:t>Wednesday</w:t>
      </w:r>
    </w:p>
    <w:p>
      <w:pPr>
        <w:pStyle w:val="Normal"/>
        <w:tabs>
          <w:tab w:val="clear" w:pos="720"/>
          <w:tab w:val="center" w:pos="2880" w:leader="none"/>
          <w:tab w:val="center" w:pos="5760" w:leader="none"/>
        </w:tabs>
        <w:rPr/>
      </w:pPr>
      <w:r>
        <w:rPr/>
        <w:t>Wednesday</w:t>
        <w:tab/>
        <w:t>Thursday</w:t>
        <w:tab/>
        <w:t>Thursday</w:t>
      </w:r>
    </w:p>
    <w:p>
      <w:pPr>
        <w:pStyle w:val="Normal"/>
        <w:tabs>
          <w:tab w:val="clear" w:pos="720"/>
          <w:tab w:val="center" w:pos="2880" w:leader="none"/>
          <w:tab w:val="center" w:pos="5760" w:leader="none"/>
        </w:tabs>
        <w:rPr/>
      </w:pPr>
      <w:r>
        <w:rPr/>
        <w:t>Thursday</w:t>
        <w:tab/>
        <w:t>Friday, Saturday</w:t>
        <w:tab/>
        <w:t>Friday</w:t>
      </w:r>
    </w:p>
    <w:p>
      <w:pPr>
        <w:pStyle w:val="Normal"/>
        <w:tabs>
          <w:tab w:val="clear" w:pos="720"/>
          <w:tab w:val="center" w:pos="2880" w:leader="none"/>
          <w:tab w:val="center" w:pos="5760" w:leader="none"/>
        </w:tabs>
        <w:rPr/>
      </w:pPr>
      <w:r>
        <w:rPr/>
        <w:tab/>
        <w:t>(one price for Fri/Sat on-peak)</w:t>
      </w:r>
    </w:p>
    <w:p>
      <w:pPr>
        <w:pStyle w:val="Normal"/>
        <w:tabs>
          <w:tab w:val="clear" w:pos="720"/>
          <w:tab w:val="center" w:pos="2880" w:leader="none"/>
          <w:tab w:val="center" w:pos="5760" w:leader="none"/>
        </w:tabs>
        <w:rPr/>
      </w:pPr>
      <w:r>
        <w:rPr/>
        <w:tab/>
        <w:t>(one price for Fri/Sat off-peak)</w:t>
      </w:r>
    </w:p>
    <w:p>
      <w:pPr>
        <w:pStyle w:val="Normal"/>
        <w:tabs>
          <w:tab w:val="clear" w:pos="720"/>
          <w:tab w:val="center" w:pos="2880" w:leader="none"/>
          <w:tab w:val="center" w:pos="5760" w:leader="none"/>
        </w:tabs>
        <w:rPr/>
      </w:pPr>
      <w:r>
        <w:rPr/>
        <w:t>Friday</w:t>
        <w:tab/>
        <w:t>Sunday, Monday</w:t>
        <w:tab/>
        <w:t>Monday</w:t>
      </w:r>
    </w:p>
    <w:p>
      <w:pPr>
        <w:pStyle w:val="Normal"/>
        <w:tabs>
          <w:tab w:val="clear" w:pos="720"/>
          <w:tab w:val="center" w:pos="2880" w:leader="none"/>
          <w:tab w:val="center" w:pos="5760" w:leader="none"/>
        </w:tabs>
        <w:rPr/>
      </w:pPr>
      <w:r>
        <w:rPr/>
        <w:tab/>
        <w:t>(one price for Monday on-peak)</w:t>
      </w:r>
    </w:p>
    <w:p>
      <w:pPr>
        <w:pStyle w:val="Normal"/>
        <w:tabs>
          <w:tab w:val="clear" w:pos="720"/>
          <w:tab w:val="center" w:pos="2880" w:leader="none"/>
          <w:tab w:val="center" w:pos="5760" w:leader="none"/>
        </w:tabs>
        <w:rPr/>
      </w:pPr>
      <w:r>
        <w:rPr/>
        <w:tab/>
        <w:t>(one price for all day Sunday/Monday off-peak)</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7"/>
      <w:numFmt w:val="upperLetter"/>
      <w:lvlText w:val="%1."/>
      <w:lvlJc w:val="start"/>
      <w:pPr>
        <w:tabs>
          <w:tab w:val="num" w:pos="360"/>
        </w:tabs>
        <w:ind w:start="360" w:hanging="360"/>
      </w:pPr>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3z0">
    <w:name w:val="WW8Num3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prices" TargetMode="External"/><Relationship Id="rId3" Type="http://schemas.openxmlformats.org/officeDocument/2006/relationships/hyperlink" Target="http://www.caiso.com/marketops/OASIS/pubmkt2.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2001-04-16T12:17:00Z</dcterms:created>
  <dc:creator>Tamara Johnson</dc:creator>
  <dc:description/>
  <dc:language>en-CA</dc:language>
  <cp:lastModifiedBy>Tamara Johnson</cp:lastModifiedBy>
  <dcterms:modified xsi:type="dcterms:W3CDTF">2001-04-16T20:02:00Z</dcterms:modified>
  <cp:revision>8</cp:revision>
  <dc:subject/>
  <dc:title>DOW JONES INDEX</dc:title>
</cp:coreProperties>
</file>