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8"/>
        </w:rPr>
      </w:pPr>
      <w:r>
        <w:rPr>
          <w:rFonts w:cs="Arial" w:ascii="Arial" w:hAnsi="Arial"/>
          <w:b/>
          <w:bCs/>
          <w:sz w:val="28"/>
        </w:rPr>
        <w:t>* * * *  M E M O R A N D U M  * * * *</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tabs>
          <w:tab w:val="clear" w:pos="708"/>
          <w:tab w:val="left" w:pos="1440" w:leader="none"/>
          <w:tab w:val="left" w:pos="5760" w:leader="none"/>
        </w:tabs>
        <w:rPr>
          <w:rFonts w:ascii="Arial" w:hAnsi="Arial" w:cs="Arial"/>
          <w:sz w:val="22"/>
        </w:rPr>
      </w:pPr>
      <w:r>
        <w:rPr>
          <w:rFonts w:cs="Arial" w:ascii="Arial" w:hAnsi="Arial"/>
          <w:sz w:val="22"/>
        </w:rPr>
        <w:t>To:</w:t>
        <w:tab/>
        <w:t>Richard Sanders</w:t>
        <w:tab/>
        <w:t xml:space="preserve">     </w:t>
      </w:r>
      <w:r>
        <w:rPr>
          <w:rFonts w:cs="Arial" w:ascii="Arial" w:hAnsi="Arial"/>
          <w:b/>
          <w:bCs/>
        </w:rPr>
        <w:t>CONFIDENTIAL COMMUNICATION</w:t>
      </w:r>
    </w:p>
    <w:p>
      <w:pPr>
        <w:pStyle w:val="Normal"/>
        <w:tabs>
          <w:tab w:val="clear" w:pos="708"/>
          <w:tab w:val="left" w:pos="1440" w:leader="none"/>
          <w:tab w:val="left" w:pos="5760" w:leader="none"/>
        </w:tabs>
        <w:rPr>
          <w:rFonts w:ascii="Arial" w:hAnsi="Arial" w:cs="Arial"/>
          <w:sz w:val="22"/>
        </w:rPr>
      </w:pPr>
      <w:r>
        <w:rPr>
          <w:rFonts w:cs="Arial" w:ascii="Arial" w:hAnsi="Arial"/>
          <w:sz w:val="22"/>
        </w:rPr>
        <w:tab/>
        <w:t>Andy Edison</w:t>
        <w:tab/>
        <w:t xml:space="preserve">      </w:t>
      </w:r>
      <w:r>
        <w:rPr>
          <w:rFonts w:cs="Arial" w:ascii="Arial" w:hAnsi="Arial"/>
          <w:b/>
          <w:bCs/>
        </w:rPr>
        <w:t>SUBJECT TO ATTORNEY-CLIENT</w:t>
      </w:r>
    </w:p>
    <w:p>
      <w:pPr>
        <w:pStyle w:val="Normal"/>
        <w:tabs>
          <w:tab w:val="clear" w:pos="708"/>
          <w:tab w:val="left" w:pos="1440" w:leader="none"/>
          <w:tab w:val="left" w:pos="5760" w:leader="none"/>
        </w:tabs>
        <w:rPr>
          <w:rFonts w:ascii="Arial" w:hAnsi="Arial" w:cs="Arial"/>
          <w:sz w:val="22"/>
        </w:rPr>
      </w:pPr>
      <w:r>
        <w:rPr>
          <w:rFonts w:cs="Arial" w:ascii="Arial" w:hAnsi="Arial"/>
          <w:sz w:val="22"/>
        </w:rPr>
        <w:tab/>
        <w:tab/>
        <w:t xml:space="preserve">       </w:t>
      </w:r>
      <w:r>
        <w:rPr>
          <w:rFonts w:cs="Arial" w:ascii="Arial" w:hAnsi="Arial"/>
          <w:b/>
          <w:bCs/>
        </w:rPr>
        <w:t>&amp; WORK PRODUCT PRIVILEGES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From:</w:t>
        <w:tab/>
        <w:tab/>
        <w:t>Dan Rogers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w:t>
        <w:tab/>
        <w:tab/>
        <w:t>Claim of International Gas Limited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Date: </w:t>
        <w:tab/>
        <w:tab/>
        <w:t>April 13, 2001</w:t>
      </w:r>
    </w:p>
    <w:p>
      <w:pPr>
        <w:pStyle w:val="Normal"/>
        <w:pBdr>
          <w:bottom w:val="single" w:sz="12" w:space="1" w:color="000000"/>
        </w:pBdr>
        <w:rPr>
          <w:rFonts w:ascii="Arial" w:hAnsi="Arial" w:cs="Arial"/>
          <w:sz w:val="22"/>
        </w:rPr>
      </w:pPr>
      <w:r>
        <w:rPr>
          <w:rFonts w:cs="Arial" w:ascii="Arial" w:hAnsi="Arial"/>
          <w:sz w:val="22"/>
        </w:rPr>
      </w:r>
    </w:p>
    <w:p>
      <w:pPr>
        <w:pStyle w:val="Normal"/>
        <w:pBdr>
          <w:bottom w:val="single" w:sz="12" w:space="1" w:color="000000"/>
        </w:pBd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rFonts w:ascii="Arial" w:hAnsi="Arial" w:cs="Arial"/>
          <w:b/>
          <w:bCs/>
          <w:sz w:val="24"/>
        </w:rPr>
      </w:pPr>
      <w:r>
        <w:rPr>
          <w:rFonts w:cs="Arial" w:ascii="Arial" w:hAnsi="Arial"/>
          <w:b/>
          <w:bCs/>
          <w:sz w:val="24"/>
        </w:rPr>
      </w:r>
    </w:p>
    <w:p>
      <w:pPr>
        <w:pStyle w:val="Normal"/>
        <w:jc w:val="both"/>
        <w:rPr/>
      </w:pPr>
      <w:r>
        <w:rPr>
          <w:rFonts w:cs="Arial" w:ascii="Arial" w:hAnsi="Arial"/>
          <w:sz w:val="22"/>
        </w:rPr>
        <w:t>Bob Williams forwarded a copy of a demand letter dated April 2, 2001 from Pettman Smith (a London law firm) on behalf of its client, International Gas Limited (“</w:t>
      </w:r>
      <w:r>
        <w:rPr>
          <w:rFonts w:cs="Arial" w:ascii="Arial" w:hAnsi="Arial"/>
          <w:sz w:val="22"/>
          <w:u w:val="single"/>
        </w:rPr>
        <w:t>IGL</w:t>
      </w:r>
      <w:r>
        <w:rPr>
          <w:rFonts w:cs="Arial" w:ascii="Arial" w:hAnsi="Arial"/>
          <w:sz w:val="22"/>
        </w:rPr>
        <w:t>”).  The demand is made against Enron Exploration Company (“</w:t>
      </w:r>
      <w:r>
        <w:rPr>
          <w:rFonts w:cs="Arial" w:ascii="Arial" w:hAnsi="Arial"/>
          <w:sz w:val="22"/>
          <w:u w:val="single"/>
        </w:rPr>
        <w:t>EEC</w:t>
      </w:r>
      <w:r>
        <w:rPr>
          <w:rFonts w:cs="Arial" w:ascii="Arial" w:hAnsi="Arial"/>
          <w:sz w:val="22"/>
        </w:rPr>
        <w:t>”), a subsidiary of EOG Resources Inc. (“</w:t>
      </w:r>
      <w:r>
        <w:rPr>
          <w:rFonts w:cs="Arial" w:ascii="Arial" w:hAnsi="Arial"/>
          <w:sz w:val="22"/>
          <w:u w:val="single"/>
        </w:rPr>
        <w:t>EOG</w:t>
      </w:r>
      <w:r>
        <w:rPr>
          <w:rFonts w:cs="Arial" w:ascii="Arial" w:hAnsi="Arial"/>
          <w:sz w:val="22"/>
        </w:rPr>
        <w:t xml:space="preserve">”), under a 1994 agreement relating to the development of a Qatari LNG production and export project that was subsequently abandoned.  It appears from the documentation I reviewed that EOG was to undertake the upstream aspects of the Qatar LNG project and various subsidiaries of Enron Corp. were to undertake the transportation and LNG marketing aspects of the project.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Since I had significant involvement in the legal, structuring and documentation aspects of the recent development of Project Dolphin (which involves, among other things, the acquisition of an interest in natural gas reserves in Qatar), and IGL appears to base its claim against EEC on one of the upstream contracts recently executed in connection with Project Dolphin, Bob asked me to review the demand letter and provide any relevant thoughts or information to you in order to assist your handling of this claim.  As I began to go through the relevant contracts, I decided that it would best serve our defense efforts if I captured my notes, thoughts and impressions in this memorandum.  I’ll leave it to you to determine whether this memorandum or any of its contents should be shared with EOG/EEC’s legal counsel.</w:t>
      </w:r>
    </w:p>
    <w:p>
      <w:pPr>
        <w:pStyle w:val="Normal"/>
        <w:jc w:val="both"/>
        <w:rPr>
          <w:rFonts w:ascii="Arial" w:hAnsi="Arial" w:cs="Arial"/>
          <w:b/>
          <w:bCs/>
          <w:sz w:val="24"/>
        </w:rPr>
      </w:pPr>
      <w:r>
        <w:rPr>
          <w:rFonts w:cs="Arial" w:ascii="Arial" w:hAnsi="Arial"/>
          <w:b/>
          <w:bCs/>
          <w:sz w:val="24"/>
        </w:rPr>
      </w:r>
    </w:p>
    <w:p>
      <w:pPr>
        <w:pStyle w:val="Heading3"/>
        <w:numPr>
          <w:ilvl w:val="0"/>
          <w:numId w:val="7"/>
        </w:numPr>
        <w:rPr/>
      </w:pPr>
      <w:r>
        <w:rPr/>
        <w:t>IGL’s Claim.</w:t>
      </w:r>
    </w:p>
    <w:p>
      <w:pPr>
        <w:pStyle w:val="Normal"/>
        <w:jc w:val="both"/>
        <w:rPr>
          <w:rFonts w:ascii="Arial" w:hAnsi="Arial" w:cs="Arial"/>
          <w:sz w:val="22"/>
        </w:rPr>
      </w:pPr>
      <w:r>
        <w:rPr>
          <w:rFonts w:cs="Arial" w:ascii="Arial" w:hAnsi="Arial"/>
          <w:sz w:val="22"/>
        </w:rPr>
      </w:r>
    </w:p>
    <w:p>
      <w:pPr>
        <w:pStyle w:val="Normal"/>
        <w:ind w:start="708" w:end="0"/>
        <w:jc w:val="both"/>
        <w:rPr>
          <w:rFonts w:ascii="Arial" w:hAnsi="Arial" w:cs="Arial"/>
          <w:sz w:val="22"/>
        </w:rPr>
      </w:pPr>
      <w:r>
        <w:rPr>
          <w:rFonts w:cs="Arial" w:ascii="Arial" w:hAnsi="Arial"/>
          <w:sz w:val="22"/>
        </w:rPr>
        <w:t>By letter dated April 2, 2001, IGL, through its U.K. legal counsel, Pettman Smith, forwarded a letter to EEC demanding the assignment by EEC of 10% of its interest in a “Development Contract and LNG Contract” that was purportedly awarded by the Government of Qatar with the assistance of IGL.  The demand letter references a May 18, 1994 agreement between EEC and IGL under which the requested transfer is alleged to be required on the basis that IGL “assisted your company [EEC] with its efforts to acquire Development and Construction [sic] rights in the area known as the North Dome in the State of Qatar.”  The IGL demand letter concludes with a request for a response from EEC by April 16,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p>
      <w:pPr>
        <w:pStyle w:val="Normal"/>
        <w:ind w:hanging="708" w:start="708" w:end="0"/>
        <w:jc w:val="both"/>
        <w:rPr>
          <w:rFonts w:ascii="Arial" w:hAnsi="Arial" w:cs="Arial"/>
          <w:b/>
          <w:bCs/>
          <w:sz w:val="24"/>
        </w:rPr>
      </w:pPr>
      <w:r>
        <w:rPr>
          <w:rFonts w:cs="Arial" w:ascii="Arial" w:hAnsi="Arial"/>
          <w:b/>
          <w:bCs/>
          <w:sz w:val="24"/>
        </w:rPr>
        <w:t>B.</w:t>
        <w:tab/>
        <w:t>Background.</w:t>
      </w:r>
    </w:p>
    <w:p>
      <w:pPr>
        <w:pStyle w:val="Normal"/>
        <w:ind w:hanging="708" w:start="708" w:end="0"/>
        <w:jc w:val="both"/>
        <w:rPr>
          <w:rFonts w:ascii="Arial" w:hAnsi="Arial" w:cs="Arial"/>
          <w:b/>
          <w:bCs/>
          <w:sz w:val="22"/>
        </w:rPr>
      </w:pPr>
      <w:r>
        <w:rPr>
          <w:rFonts w:cs="Arial" w:ascii="Arial" w:hAnsi="Arial"/>
          <w:b/>
          <w:bCs/>
          <w:sz w:val="22"/>
        </w:rPr>
      </w:r>
    </w:p>
    <w:p>
      <w:pPr>
        <w:pStyle w:val="BodyText"/>
        <w:ind w:hanging="732" w:start="1440" w:end="0"/>
        <w:rPr/>
      </w:pPr>
      <w:r>
        <w:rPr/>
        <w:t>1.</w:t>
        <w:tab/>
      </w:r>
      <w:r>
        <w:rPr>
          <w:u w:val="single"/>
        </w:rPr>
        <w:t>The EEC-IGL Agreement</w:t>
      </w:r>
      <w:r>
        <w:rPr/>
        <w:t>.  On May 18, 1994 EEC and IGL entered into an Agreement, as amended by letter agreement dated May 18, 1995 (collectively, that “</w:t>
      </w:r>
      <w:r>
        <w:rPr>
          <w:u w:val="single"/>
        </w:rPr>
        <w:t>Agreement</w:t>
      </w:r>
      <w:r>
        <w:rPr/>
        <w:t>”), which provides, among other things, that IGL will provide advice and assistance to EEC in connection with EEC’s efforts at securing rights to explore, develop and process natural gas reserves from the North Dome Gas Field located offshore Qatar (the “</w:t>
      </w:r>
      <w:r>
        <w:rPr>
          <w:u w:val="single"/>
        </w:rPr>
        <w:t>North Field</w:t>
      </w:r>
      <w:r>
        <w:rPr/>
        <w:t>”) for the purpose of facilitating EEC’s (or its Affiliates’) development of a Qatari-based LNG export terminal project.  In return for such advice and assistance, EEC agreed that upon the award of a “</w:t>
      </w:r>
      <w:r>
        <w:rPr>
          <w:u w:val="single"/>
        </w:rPr>
        <w:t>Development Contract</w:t>
      </w:r>
      <w:r>
        <w:rPr/>
        <w:t>” (defined as an agreement between EEC or its affiliate and the Government of Qatar providing for the joint exploration and development of natural gas reserves in the North Field) and/or an “</w:t>
      </w:r>
      <w:r>
        <w:rPr>
          <w:u w:val="single"/>
        </w:rPr>
        <w:t>LNG Contract</w:t>
      </w:r>
      <w:r>
        <w:rPr/>
        <w:t xml:space="preserve">” (defined as an agreement providing EEC with the right to participate in the development, construction and operation of LNG facilities for the liquefaction and export of gas from the North Field), EEC would assign to IGL a 10% participating interest in all of EEC’s rights and obligations under such Development Contract and/or LNG Contract, subject to certain specified Government and third-party consents and approvals.  </w:t>
      </w:r>
    </w:p>
    <w:p>
      <w:pPr>
        <w:pStyle w:val="BodyText"/>
        <w:ind w:start="708" w:end="0"/>
        <w:rPr/>
      </w:pPr>
      <w:r>
        <w:rPr/>
      </w:r>
    </w:p>
    <w:p>
      <w:pPr>
        <w:pStyle w:val="BodyText"/>
        <w:ind w:start="1440" w:end="0"/>
        <w:rPr>
          <w:rFonts w:cs="Arial"/>
        </w:rPr>
      </w:pPr>
      <w:r>
        <w:rPr>
          <w:rFonts w:cs="Arial"/>
        </w:rPr>
        <w:t xml:space="preserve">The Agreement expires by its terms as of November 1, 1995; provided however, that it states that its term shall extend through the expiration or termination of any Development Contract or LNG Contract that is entered into by EEC or its Affiliate prior to November 1, 1995.  The Agreement further provides that EEC will remain responsible to IGL under the Agreement despite any assignment of rights and obligations in respect of any Development Contract or LNG Contract by EEC, and that EEC will cause any Affiliate acquiring such rights and obligations in its stead to assign a participating interest to IGL. </w:t>
      </w:r>
    </w:p>
    <w:p>
      <w:pPr>
        <w:pStyle w:val="BodyText"/>
        <w:ind w:start="708" w:end="0"/>
        <w:rPr/>
      </w:pPr>
      <w:r>
        <w:rPr/>
      </w:r>
    </w:p>
    <w:p>
      <w:pPr>
        <w:pStyle w:val="BodyText"/>
        <w:ind w:start="1440" w:end="0"/>
        <w:rPr/>
      </w:pPr>
      <w:r>
        <w:rPr/>
        <w:t xml:space="preserve">The </w:t>
      </w:r>
      <w:r>
        <w:rPr>
          <w:rFonts w:cs="Arial"/>
        </w:rPr>
        <w:t xml:space="preserve">Agreement provides that it is to be governed by and construed in accordance with English law, with any related disputes between the parties to be resolved by way of binding arbitration in London pursuant to the International Commercial Arbitration Rules of the American Arbitration Association.  </w:t>
      </w:r>
    </w:p>
    <w:p>
      <w:pPr>
        <w:pStyle w:val="BodyText"/>
        <w:ind w:start="708" w:end="0"/>
        <w:rPr>
          <w:rFonts w:cs="Arial"/>
        </w:rPr>
      </w:pPr>
      <w:r>
        <w:rPr>
          <w:rFonts w:cs="Arial"/>
        </w:rPr>
      </w:r>
    </w:p>
    <w:p>
      <w:pPr>
        <w:pStyle w:val="BodyText"/>
        <w:ind w:start="1416" w:end="0"/>
        <w:rPr/>
      </w:pPr>
      <w:r>
        <w:rPr/>
        <w:t>It appears that IGL did perform some services under the Agreement (Note: Rick Bergsieker should be able to confirm this), however, EEC’s efforts at securing an upstream gas reserve base and developing an LNG export terminal project in Qatar were ultimately unsuccessful and the project was abandoned sometime in late 1996 – early 1997 (Note: Rick should also be able to provide a more specific date if necessary).  It appears that subsequent to such abandonment, IGL provided no further assistance to any Enron-related entity in respect of potential natural gas or LNG development activities in Qatar.</w:t>
      </w:r>
    </w:p>
    <w:p>
      <w:pPr>
        <w:pStyle w:val="Normal"/>
        <w:ind w:start="708" w:end="0"/>
        <w:jc w:val="both"/>
        <w:rPr>
          <w:rFonts w:ascii="Arial" w:hAnsi="Arial" w:cs="Arial"/>
          <w:sz w:val="22"/>
        </w:rPr>
      </w:pPr>
      <w:r>
        <w:rPr>
          <w:rFonts w:cs="Arial" w:ascii="Arial" w:hAnsi="Arial"/>
          <w:sz w:val="22"/>
        </w:rPr>
      </w:r>
    </w:p>
    <w:p>
      <w:pPr>
        <w:pStyle w:val="ssPara1"/>
        <w:numPr>
          <w:ilvl w:val="0"/>
          <w:numId w:val="2"/>
        </w:numPr>
        <w:rPr>
          <w:rFonts w:cs="Arial"/>
        </w:rPr>
      </w:pPr>
      <w:r>
        <w:rPr>
          <w:rFonts w:cs="Arial"/>
          <w:u w:val="single"/>
        </w:rPr>
        <w:t>Enron’s Development Activities in Qatar</w:t>
      </w:r>
      <w:r>
        <w:rPr>
          <w:rFonts w:cs="Arial"/>
        </w:rPr>
        <w:t xml:space="preserve">.  </w:t>
      </w:r>
    </w:p>
    <w:p>
      <w:pPr>
        <w:pStyle w:val="ssPara1"/>
        <w:numPr>
          <w:ilvl w:val="1"/>
          <w:numId w:val="2"/>
        </w:numPr>
        <w:tabs>
          <w:tab w:val="clear" w:pos="708"/>
          <w:tab w:val="left" w:pos="1440" w:leader="none"/>
          <w:tab w:val="left" w:pos="2160" w:leader="none"/>
        </w:tabs>
        <w:ind w:hanging="735" w:start="2160" w:end="0"/>
        <w:rPr>
          <w:rFonts w:cs="Arial"/>
          <w:u w:val="single"/>
        </w:rPr>
      </w:pPr>
      <w:r>
        <w:rPr>
          <w:rFonts w:cs="Arial"/>
          <w:u w:val="single"/>
        </w:rPr>
        <w:t>Enron’s Qatar LNG Project</w:t>
      </w:r>
      <w:r>
        <w:rPr>
          <w:rFonts w:cs="Arial"/>
        </w:rPr>
        <w:t>.     Enron International C.V. (“</w:t>
      </w:r>
      <w:r>
        <w:rPr>
          <w:rFonts w:cs="Arial"/>
          <w:u w:val="single"/>
        </w:rPr>
        <w:t>EI</w:t>
      </w:r>
      <w:r>
        <w:rPr>
          <w:rFonts w:cs="Arial"/>
        </w:rPr>
        <w:t>”) (an indirect wholly-owned subsidiary of Enron Corp.), Enron Oil &amp; Gas Qatar Ltd. (“</w:t>
      </w:r>
      <w:r>
        <w:rPr>
          <w:rFonts w:cs="Arial"/>
          <w:u w:val="single"/>
        </w:rPr>
        <w:t>EOGQ</w:t>
      </w:r>
      <w:r>
        <w:rPr>
          <w:rFonts w:cs="Arial"/>
        </w:rPr>
        <w:t>”) (an indirect wholly-owned subsidiary of EOG) and Qatar General Petroleum Corporation (“</w:t>
      </w:r>
      <w:r>
        <w:rPr>
          <w:rFonts w:cs="Arial"/>
          <w:u w:val="single"/>
        </w:rPr>
        <w:t>QP</w:t>
      </w:r>
      <w:r>
        <w:rPr>
          <w:rFonts w:cs="Arial"/>
        </w:rPr>
        <w:t>”) entered into a Letter of Intent dated January 18, 1995, which was amended on October 24, 1995, March 12, 1996 and March 30, 1996, respectively (collectively the “</w:t>
      </w:r>
      <w:r>
        <w:rPr>
          <w:rFonts w:cs="Arial"/>
          <w:u w:val="single"/>
        </w:rPr>
        <w:t>Letter of Intent</w:t>
      </w:r>
      <w:r>
        <w:rPr>
          <w:rFonts w:cs="Arial"/>
        </w:rPr>
        <w:t xml:space="preserve">”), and which generally provided for the joint development of an LNG production and export facility to be located in Qatar and which utilized natural gas from the North Field as feedstock.  EI subsequently assigned its interest in the Letter of Intent to EOGQ by way of an Assignment dated effective November 1, 1995.  The Letter of Intent expired by its terms on March 31, 1996. </w:t>
      </w:r>
    </w:p>
    <w:p>
      <w:pPr>
        <w:pStyle w:val="ssPara1"/>
        <w:tabs>
          <w:tab w:val="clear" w:pos="708"/>
          <w:tab w:val="left" w:pos="1440" w:leader="none"/>
        </w:tabs>
        <w:ind w:start="2160" w:end="0"/>
        <w:rPr>
          <w:rFonts w:cs="Arial"/>
        </w:rPr>
      </w:pPr>
      <w:r>
        <w:rPr>
          <w:rFonts w:cs="Arial"/>
        </w:rPr>
        <w:t>On October 1, 1995, the Government of Qatar, QP, Mobil QM Gas Inc., Ras Laffan Liquefied Natural Gas Company Limited, Enron Corp., EI and EOGQ entered into an “Agreement to Harmonize the Rights of Participants in The Ras Laffan/Mobil LNG Project and the Proposed QP/Enron LNG Project” in order to reconcile and satisfy the concerns among the participants of both the Ras Laffan/Mobil LNG project and the QP/Enron project as to potentially conflicting marketing efforts and rights.</w:t>
      </w:r>
    </w:p>
    <w:p>
      <w:pPr>
        <w:pStyle w:val="ssPara1"/>
        <w:tabs>
          <w:tab w:val="clear" w:pos="708"/>
          <w:tab w:val="left" w:pos="1440" w:leader="none"/>
        </w:tabs>
        <w:ind w:start="2160" w:end="0"/>
        <w:rPr>
          <w:rFonts w:cs="Arial"/>
        </w:rPr>
      </w:pPr>
      <w:r>
        <w:rPr>
          <w:rFonts w:cs="Arial"/>
        </w:rPr>
        <w:t>Between September 1995 and April 1996, marketing affiliates of Enron Corp. (including Enron Qatar LNG Marketing Ltd., Enron Development Company, Enron LNG Israel Ltd. and Enron LNG Jordan Ltd.) then entered into various memoranda of agreement with potential Israeli, Jordanian and Indian LNG customers for the potential purchase and import of LNG sourced from the Qatar LNG project.</w:t>
      </w:r>
    </w:p>
    <w:p>
      <w:pPr>
        <w:pStyle w:val="BodyText"/>
        <w:ind w:start="2160" w:end="0"/>
        <w:rPr/>
      </w:pPr>
      <w:r>
        <w:rPr>
          <w:rFonts w:cs="Arial"/>
        </w:rPr>
        <w:t xml:space="preserve">As mentioned above, </w:t>
      </w:r>
      <w:r>
        <w:rPr/>
        <w:t>EEC’s and the other Enron-related participants’ efforts at securing an upstream gas reserve base and developing an LNG export terminal project in Qatar were ultimately unsuccessful and the project was abandoned sometime in late 1996 – early 1997.  It appears that subsequent to such abandonment IGL provided no further assistance to any Enron-related entity in respect of potential natural gas or LNG development activities in Qatar.</w:t>
      </w:r>
    </w:p>
    <w:p>
      <w:pPr>
        <w:pStyle w:val="BodyText"/>
        <w:ind w:start="2160" w:end="0"/>
        <w:rPr/>
      </w:pPr>
      <w:r>
        <w:rPr/>
      </w:r>
    </w:p>
    <w:p>
      <w:pPr>
        <w:pStyle w:val="ssPara1"/>
        <w:numPr>
          <w:ilvl w:val="1"/>
          <w:numId w:val="2"/>
        </w:numPr>
        <w:tabs>
          <w:tab w:val="clear" w:pos="708"/>
          <w:tab w:val="left" w:pos="1440" w:leader="none"/>
          <w:tab w:val="left" w:pos="2160" w:leader="none"/>
        </w:tabs>
        <w:ind w:hanging="735" w:start="2160" w:end="0"/>
        <w:rPr>
          <w:rFonts w:cs="Arial"/>
        </w:rPr>
      </w:pPr>
      <w:r>
        <w:rPr>
          <w:rFonts w:cs="Arial"/>
          <w:u w:val="single"/>
        </w:rPr>
        <w:t>Project Dolphin</w:t>
      </w:r>
      <w:r>
        <w:rPr>
          <w:rFonts w:cs="Arial"/>
        </w:rPr>
        <w:t>.  In 1999, an entity known as UAE Offsets Group (“</w:t>
      </w:r>
      <w:r>
        <w:rPr>
          <w:rFonts w:cs="Arial"/>
          <w:u w:val="single"/>
        </w:rPr>
        <w:t>UOG</w:t>
      </w:r>
      <w:r>
        <w:rPr>
          <w:rFonts w:cs="Arial"/>
        </w:rPr>
        <w:t>”) (a think-tank and project development branch of the UAE Armed Forces) began preliminary development activities in connection with a project now known as “</w:t>
      </w:r>
      <w:r>
        <w:rPr>
          <w:rFonts w:cs="Arial"/>
          <w:u w:val="single"/>
        </w:rPr>
        <w:t>Project Dolphin</w:t>
      </w:r>
      <w:r>
        <w:rPr>
          <w:rFonts w:cs="Arial"/>
        </w:rPr>
        <w:t xml:space="preserve">,” a Government-sponsored, cross-border natural gas pipeline and energy infrastructure project being undertaken in the Middle East.  The primary objectives of Project Dolphin are to undertake </w:t>
      </w:r>
      <w:r>
        <w:rPr>
          <w:rFonts w:cs="Arial"/>
          <w:spacing w:val="-2"/>
        </w:rPr>
        <w:t xml:space="preserve">(i) the development, financing, construction, implementation, operation and maintenance of </w:t>
      </w:r>
      <w:r>
        <w:rPr>
          <w:rFonts w:cs="Arial"/>
        </w:rPr>
        <w:t>a natural gas pipeline grid from Qatar to the UAE and Oman (and possibly to certain other Gulf Cooperation Council (“</w:t>
      </w:r>
      <w:r>
        <w:rPr>
          <w:rFonts w:cs="Arial"/>
          <w:u w:val="single"/>
        </w:rPr>
        <w:t>GCC</w:t>
      </w:r>
      <w:r>
        <w:rPr>
          <w:rFonts w:cs="Arial"/>
        </w:rPr>
        <w:t xml:space="preserve">”) states, Pakistan and North West India), and (ii) the sourcing, production and processing of natural gas and associated hydrocarbon liquids through contractual interests in specified areas in the North Field and the potential purchase of additional early gas from existing natural gas producers in Qatar, marketing and exporting the hydrocarbon liquids resulting from processing of the raw gas, and marketing, exporting and transporting the natural gas to customers in the UAE, Oman and other locations served by the above-referenced gas pipeline system.  </w:t>
      </w:r>
    </w:p>
    <w:p>
      <w:pPr>
        <w:pStyle w:val="ssPara1"/>
        <w:ind w:start="2124" w:end="0"/>
        <w:rPr>
          <w:rFonts w:cs="Arial"/>
        </w:rPr>
      </w:pPr>
      <w:r>
        <w:rPr>
          <w:rFonts w:cs="Arial"/>
        </w:rPr>
        <w:t xml:space="preserve">In furtherance of Project Dolphin, on March 16, 1999 UOG and QP released a joint “Statement of Principles,” in the form of a non-legally binding document setting forth general principles by which (i) QP would “fast track” the upstream natural gas exploration and development negotiations and (ii) QP and UOG, through Project Dolphin, should approach the marketing of gas from the North Field to primary markets in the UAE and Oman and secondary markets in Pakistan and possibly India. </w:t>
      </w:r>
    </w:p>
    <w:p>
      <w:pPr>
        <w:pStyle w:val="ssPara1"/>
        <w:ind w:start="2124" w:end="0"/>
        <w:rPr/>
      </w:pPr>
      <w:r>
        <w:rPr>
          <w:rFonts w:cs="Arial"/>
        </w:rPr>
        <w:t>During the Summer of 1999, Enron Gulf Holdings Ltd. (“</w:t>
      </w:r>
      <w:r>
        <w:rPr>
          <w:rFonts w:cs="Arial"/>
          <w:u w:val="single"/>
        </w:rPr>
        <w:t>EGHL</w:t>
      </w:r>
      <w:r>
        <w:rPr>
          <w:rFonts w:cs="Arial"/>
        </w:rPr>
        <w:t>”), an indirect, wholly-owned subsidiary of Enron Corp., began discussions with UOG concerning the possible participation by EGHL as an equity investor in Project Dolphin.  On March 14, 2000, EGHL, Offset Investments Company Limited (“</w:t>
      </w:r>
      <w:r>
        <w:rPr>
          <w:rFonts w:cs="Arial"/>
          <w:u w:val="single"/>
        </w:rPr>
        <w:t>OIC</w:t>
      </w:r>
      <w:r>
        <w:rPr>
          <w:rFonts w:cs="Arial"/>
        </w:rPr>
        <w:t>”) (a wholly-owned subsidiary of UOG), Elf Gulf Limited (“</w:t>
      </w:r>
      <w:r>
        <w:rPr>
          <w:rFonts w:cs="Arial"/>
          <w:u w:val="single"/>
        </w:rPr>
        <w:t>TFE</w:t>
      </w:r>
      <w:r>
        <w:rPr>
          <w:rFonts w:cs="Arial"/>
        </w:rPr>
        <w:t>”) (an affiliate of TotalFinaElf S.A.) and Dolphin Energy Limited (“</w:t>
      </w:r>
      <w:r>
        <w:rPr>
          <w:rFonts w:cs="Arial"/>
          <w:u w:val="single"/>
        </w:rPr>
        <w:t>DEL</w:t>
      </w:r>
      <w:r>
        <w:rPr>
          <w:rFonts w:cs="Arial"/>
        </w:rPr>
        <w:t>”) signed a Project Development Agreement (the “</w:t>
      </w:r>
      <w:r>
        <w:rPr>
          <w:rFonts w:cs="Arial"/>
          <w:u w:val="single"/>
        </w:rPr>
        <w:t>PDA</w:t>
      </w:r>
      <w:r>
        <w:rPr>
          <w:rFonts w:cs="Arial"/>
        </w:rPr>
        <w:t>”) providing for the basic rights and obligations of the parties in respect of the joint development of Project Dolphin and the management and governance of DEL, the primary corporate joint venture vehicle for the Project.  EGHL contributed US$ 25 million in return for a 24.5% equity interest in DEL, with the remaining DEL equity being owned by TFE (24.5%) and OIC (51%).</w:t>
      </w:r>
    </w:p>
    <w:p>
      <w:pPr>
        <w:pStyle w:val="BodyText"/>
        <w:ind w:start="2124" w:end="0"/>
        <w:rPr/>
      </w:pPr>
      <w:r>
        <w:rPr>
          <w:rFonts w:cs="Arial"/>
        </w:rPr>
        <w:t>Further to the Statement of Principles referenced above, QP and UOG, on behalf of Project Dolphin and its stakeholders, signed a Term Sheet dated March 14, 2001 (the “</w:t>
      </w:r>
      <w:r>
        <w:rPr>
          <w:rFonts w:cs="Arial"/>
          <w:u w:val="single"/>
        </w:rPr>
        <w:t>Term Sheet</w:t>
      </w:r>
      <w:r>
        <w:rPr>
          <w:rFonts w:cs="Arial"/>
        </w:rPr>
        <w:t>”) that sets forth certain basic commercial terms under which the parties intend to negotiate a definitive Development and Production Sharing Agreement (“</w:t>
      </w:r>
      <w:r>
        <w:rPr>
          <w:rFonts w:cs="Arial"/>
          <w:u w:val="single"/>
        </w:rPr>
        <w:t>DPSA</w:t>
      </w:r>
      <w:r>
        <w:rPr>
          <w:rFonts w:cs="Arial"/>
        </w:rPr>
        <w:t xml:space="preserve">”) which is intended to provide the framework for the exploration, development and production of natural gas from a designated block in the North Field in Qatar, for export via the Project Dolphin pipeline system to gas customers in the UAE and Oman.  The general legal effect of the Term Sheet is to bind the parties to negotiate in good faith toward the execution of a DPSA that reflects the basic commercial exploration and production terms set forth in the Term Sheet and such other terms as are agreed.  The Term Sheet provides that it will expire by its terms on September 14, 2001 if the DPSA is not concluded and executed by such date.  </w:t>
      </w:r>
    </w:p>
    <w:p>
      <w:pPr>
        <w:pStyle w:val="BodyText"/>
        <w:ind w:start="2124" w:end="0"/>
        <w:rPr>
          <w:rFonts w:cs="Arial"/>
        </w:rPr>
      </w:pPr>
      <w:r>
        <w:rPr>
          <w:rFonts w:cs="Arial"/>
        </w:rPr>
      </w:r>
    </w:p>
    <w:p>
      <w:pPr>
        <w:pStyle w:val="BodyText"/>
        <w:ind w:start="2124" w:end="0"/>
        <w:rPr>
          <w:rFonts w:cs="Arial"/>
        </w:rPr>
      </w:pPr>
      <w:r>
        <w:rPr>
          <w:rFonts w:cs="Arial"/>
        </w:rPr>
        <w:t xml:space="preserve">The execution of this Term Sheet last month, which received international publicity and in which the participation of “Enron” and TotalFinaElf was noted, is presumably the “Development Agreement” upon which IGL now bases its claim against EEC.  In this regard it is important to note that IGL was not in any way involved, nor was its assistance ever solicited by EGHL, in connection with the negotiation and execution of the Term Sheet or the development of Project Dolphin.  </w:t>
      </w:r>
    </w:p>
    <w:p>
      <w:pPr>
        <w:pStyle w:val="BodyText"/>
        <w:ind w:start="708" w:end="0"/>
        <w:rPr>
          <w:rFonts w:cs="Arial"/>
        </w:rPr>
      </w:pPr>
      <w:r>
        <w:rPr>
          <w:rFonts w:cs="Arial"/>
        </w:rPr>
      </w:r>
    </w:p>
    <w:p>
      <w:pPr>
        <w:pStyle w:val="BodyText"/>
        <w:ind w:start="2124" w:end="0"/>
        <w:rPr>
          <w:rFonts w:cs="Arial"/>
        </w:rPr>
      </w:pPr>
      <w:r>
        <w:rPr>
          <w:rFonts w:cs="Arial"/>
        </w:rPr>
        <w:t>The initial draft of the definitive DPSA, which is intended to include the DEL shareholders (including EGHL) as individual signatories in addition to DEL and QP, is now under preparation by the DEL project team.  Negotaition of the DPSA is expected to commence in Qatar in the third week of April 2001, with an anticipated signing date by year-end 2001.</w:t>
      </w:r>
    </w:p>
    <w:p>
      <w:pPr>
        <w:pStyle w:val="BodyText"/>
        <w:ind w:start="2124" w:end="0"/>
        <w:rPr>
          <w:rFonts w:cs="Arial"/>
        </w:rPr>
      </w:pPr>
      <w:r>
        <w:rPr>
          <w:rFonts w:cs="Arial"/>
        </w:rPr>
      </w:r>
    </w:p>
    <w:p>
      <w:pPr>
        <w:pStyle w:val="ssPara1"/>
        <w:tabs>
          <w:tab w:val="clear" w:pos="708"/>
          <w:tab w:val="left" w:pos="2160" w:leader="none"/>
        </w:tabs>
        <w:ind w:hanging="744" w:start="2160" w:end="0"/>
        <w:rPr/>
      </w:pPr>
      <w:r>
        <w:rPr>
          <w:rFonts w:cs="Arial"/>
        </w:rPr>
        <w:tab/>
        <w:t>At this point it is also worth noting that EEC did not assist EGHL in connection with the development of Project Dolphin and the negotiation and execution of the Term Sheet.  It is believed that Bert Stromquist, who was seconded from Enron Global Exploration &amp; Production (“</w:t>
      </w:r>
      <w:r>
        <w:rPr>
          <w:rFonts w:cs="Arial"/>
          <w:u w:val="single"/>
        </w:rPr>
        <w:t>EGEP</w:t>
      </w:r>
      <w:r>
        <w:rPr>
          <w:rFonts w:cs="Arial"/>
        </w:rPr>
        <w:t>”) to EGHL in connection with the upstream aspects of Project Dolphin, was at one time employed by EEC and may have been involved in EEC’s efforts at developing an LNG export project in Qatar. (Note: either Bert or Rick can confirm this if necessary).</w:t>
      </w:r>
    </w:p>
    <w:p>
      <w:pPr>
        <w:pStyle w:val="ssPara1"/>
        <w:numPr>
          <w:ilvl w:val="0"/>
          <w:numId w:val="2"/>
        </w:numPr>
        <w:rPr>
          <w:rFonts w:cs="Arial"/>
        </w:rPr>
      </w:pPr>
      <w:r>
        <w:rPr>
          <w:rFonts w:cs="Arial"/>
          <w:u w:val="single"/>
        </w:rPr>
        <w:t>Relationship Among Enron Corp., EEC, and EGHL</w:t>
      </w:r>
      <w:r>
        <w:rPr>
          <w:rFonts w:cs="Arial"/>
        </w:rPr>
        <w:t xml:space="preserve">.  Throughout the stated term of the Agreement (May 18, 1994 through November 1, 1995), EEC was indirectly majority-owned and controlled by Enron Corp. by virtue of Enron Corp’s. ownership interest in EEC’s parent company, EOG.  On August 16, 1999 Enron Corp. completed the divestment of its share ownership interest in EOG (immediately prior to the divestment, Enron Corp held approximately 53% of EOG).  I have heard, but have been unable to confirm, that EEC has been dissolved by EOG (see, Note below).  </w:t>
      </w:r>
    </w:p>
    <w:p>
      <w:pPr>
        <w:pStyle w:val="ssPara1"/>
        <w:tabs>
          <w:tab w:val="clear" w:pos="708"/>
          <w:tab w:val="left" w:pos="1440" w:leader="none"/>
        </w:tabs>
        <w:ind w:start="1410" w:end="0"/>
        <w:rPr/>
      </w:pPr>
      <w:r>
        <w:rPr>
          <w:rFonts w:cs="Arial"/>
        </w:rPr>
        <w:t>Note: The corporate records maintained by Enron Corp. indicate that EEC changed its name to “Enron Asia-Middle East Exploration Company” on May 27, 1993 (</w:t>
      </w:r>
      <w:r>
        <w:rPr>
          <w:rFonts w:cs="Arial"/>
          <w:i/>
          <w:iCs/>
        </w:rPr>
        <w:t>prior</w:t>
      </w:r>
      <w:r>
        <w:rPr>
          <w:rFonts w:cs="Arial"/>
        </w:rPr>
        <w:t xml:space="preserve"> to the entry by EEC into the Agreement and the various other agreements listed in this memorandum), and that Enron Asia-Middle East Exploration Company was then sold to Anglo-Caribe Energy Advisors, Ltd. On December 28, 1994 (</w:t>
      </w:r>
      <w:r>
        <w:rPr>
          <w:rFonts w:cs="Arial"/>
          <w:i/>
          <w:iCs/>
        </w:rPr>
        <w:t>prior</w:t>
      </w:r>
      <w:r>
        <w:rPr>
          <w:rFonts w:cs="Arial"/>
        </w:rPr>
        <w:t xml:space="preserve"> to the entry by EEC into the Agreement and the various other agreements referenced in this memorandum).  Both EOG and Enron Corp. will need to more fully investigate the origin and status of EEC in connection with the preparation of any defense to IGL’s claim.</w:t>
      </w:r>
    </w:p>
    <w:p>
      <w:pPr>
        <w:pStyle w:val="ssPara1"/>
        <w:ind w:start="1416" w:end="0"/>
        <w:rPr>
          <w:rFonts w:cs="Arial"/>
        </w:rPr>
      </w:pPr>
      <w:r>
        <w:rPr>
          <w:rFonts w:cs="Arial"/>
        </w:rPr>
        <w:t xml:space="preserve">EGHL was incorporated as an indirect, wholly-owned subsidiary of Enron Corp. on June 7, 1999 and has remained so to the present date.  Thus, it was only for the five (5) week period from June 7, 1999 to August 16, 1999 that EEC and EGHL were under the common control of Enron Corp., and thereafter EEC and EGHL ceased to be Affiliates (as defined in the Agreement). </w:t>
      </w:r>
    </w:p>
    <w:p>
      <w:pPr>
        <w:pStyle w:val="ssPara1"/>
        <w:ind w:start="1416" w:end="0"/>
        <w:rPr>
          <w:rFonts w:cs="Arial"/>
        </w:rPr>
      </w:pPr>
      <w:r>
        <w:rPr>
          <w:rFonts w:cs="Arial"/>
        </w:rPr>
        <w:t>It is important to note that the divestment by Enron Corp. of the remainder of its ownership interest in EOG was presumably effected for valid business reasons and was not designed to avoid any potential liability of EEC to IGL under the Agreement.  Furthermore, at no time did either of EEC or EGHL enjoy any control rights over the other.  EEC did not assign its rights and obligations in respect of its development activities in Qatar (including its rights and obligations under the Agreement) to EGHL, nor did any EEC assist EGHL in connection with the development of Project Dolphin and the negotiation and execution of the Term Sheet.  As mentioned above, one employee (Bert Stromquist) who was seconded from EGEP to EGHL in connection with the upstream aspects of Project Dolphin may have at one time been employed by EEC and involved in EEC’s efforts at developing an LNG export project in Qatar.</w:t>
      </w:r>
    </w:p>
    <w:p>
      <w:pPr>
        <w:pStyle w:val="Heading4"/>
        <w:ind w:hanging="0" w:start="0"/>
        <w:rPr/>
      </w:pPr>
      <w:r>
        <w:rPr/>
        <w:t>C.</w:t>
        <w:tab/>
        <w:t>EGHL and EEC’s Obligations and Potential Defenses.</w:t>
      </w:r>
    </w:p>
    <w:p>
      <w:pPr>
        <w:pStyle w:val="Normal"/>
        <w:jc w:val="both"/>
        <w:rPr>
          <w:rFonts w:ascii="Arial" w:hAnsi="Arial" w:cs="Arial"/>
          <w:sz w:val="22"/>
        </w:rPr>
      </w:pPr>
      <w:r>
        <w:rPr>
          <w:rFonts w:cs="Arial" w:ascii="Arial" w:hAnsi="Arial"/>
          <w:sz w:val="22"/>
        </w:rPr>
      </w:r>
    </w:p>
    <w:p>
      <w:pPr>
        <w:pStyle w:val="Normal"/>
        <w:ind w:hanging="708" w:start="708" w:end="0"/>
        <w:jc w:val="both"/>
        <w:rPr>
          <w:rFonts w:ascii="Arial" w:hAnsi="Arial" w:cs="Arial"/>
          <w:sz w:val="22"/>
        </w:rPr>
      </w:pPr>
      <w:r>
        <w:rPr>
          <w:rFonts w:cs="Arial" w:ascii="Arial" w:hAnsi="Arial"/>
          <w:sz w:val="22"/>
        </w:rPr>
        <w:tab/>
        <w:t>After reviewing and evaluating the Agreement in light of the various facts and agreements of which I am aware relating to EEC’s and EQL’s participation in the Qatar LNG project and EHGL’s subsequent participation in Project Dolphin, I offer the following to assist in the preparation of a defense to IGL’s claim:</w:t>
      </w:r>
    </w:p>
    <w:p>
      <w:pPr>
        <w:pStyle w:val="Normal"/>
        <w:jc w:val="both"/>
        <w:rPr>
          <w:rFonts w:ascii="Arial" w:hAnsi="Arial" w:cs="Arial"/>
          <w:sz w:val="22"/>
        </w:rPr>
      </w:pPr>
      <w:r>
        <w:rPr>
          <w:rFonts w:cs="Arial" w:ascii="Arial" w:hAnsi="Arial"/>
          <w:sz w:val="22"/>
        </w:rPr>
      </w:r>
    </w:p>
    <w:p>
      <w:pPr>
        <w:pStyle w:val="Normal"/>
        <w:numPr>
          <w:ilvl w:val="0"/>
          <w:numId w:val="5"/>
        </w:numPr>
        <w:tabs>
          <w:tab w:val="clear" w:pos="708"/>
          <w:tab w:val="left" w:pos="1440" w:leader="none"/>
        </w:tabs>
        <w:ind w:hanging="720" w:start="1440" w:end="0"/>
        <w:jc w:val="both"/>
        <w:rPr>
          <w:rFonts w:ascii="Arial" w:hAnsi="Arial" w:cs="Arial"/>
          <w:sz w:val="22"/>
        </w:rPr>
      </w:pPr>
      <w:r>
        <w:rPr>
          <w:rFonts w:cs="Arial" w:ascii="Arial" w:hAnsi="Arial"/>
          <w:sz w:val="22"/>
          <w:u w:val="single"/>
        </w:rPr>
        <w:t>EGHL’s Obligations/Defenses</w:t>
      </w:r>
      <w:r>
        <w:rPr>
          <w:rFonts w:cs="Arial" w:ascii="Arial" w:hAnsi="Arial"/>
          <w:sz w:val="22"/>
        </w:rPr>
        <w:t xml:space="preserve">.  It does not appear that EGHL has any direct legal obligation to IGL under the Agreement or any other contract.  EGHL is not a direct signatory to the Agreement nor has it otherwise subsequently agreed to be bound by the terms of the Agreement.  As the Agreement is to be governed by and construed in accordance with English law, the doctrine of privity should provide EGHL with a solid defense against any potential liability to IGL.  </w:t>
      </w:r>
    </w:p>
    <w:p>
      <w:pPr>
        <w:pStyle w:val="Normal"/>
        <w:ind w:start="720" w:end="0"/>
        <w:jc w:val="both"/>
        <w:rPr>
          <w:rFonts w:ascii="Arial" w:hAnsi="Arial" w:cs="Arial"/>
          <w:sz w:val="22"/>
          <w:u w:val="single"/>
        </w:rPr>
      </w:pPr>
      <w:r>
        <w:rPr>
          <w:rFonts w:cs="Arial" w:ascii="Arial" w:hAnsi="Arial"/>
          <w:sz w:val="22"/>
          <w:u w:val="single"/>
        </w:rPr>
      </w:r>
    </w:p>
    <w:p>
      <w:pPr>
        <w:pStyle w:val="Normal"/>
        <w:ind w:start="1416" w:end="0"/>
        <w:jc w:val="both"/>
        <w:rPr>
          <w:rFonts w:ascii="Arial" w:hAnsi="Arial" w:cs="Arial"/>
          <w:sz w:val="22"/>
        </w:rPr>
      </w:pPr>
      <w:r>
        <w:rPr>
          <w:rFonts w:cs="Arial" w:ascii="Arial" w:hAnsi="Arial"/>
          <w:sz w:val="22"/>
        </w:rPr>
        <w:t xml:space="preserve">An interference-type claim by IGL against EGHL (which is not being asserted as part of IGL’s present demand) is not likely to be successful since, although EGHL was aware of both the Agreement and the Letter of Intent between QP and UOG at the time of its decision to participate in Project Dolphin, (a) its counsel concluded that EEC was under no further obligation to IGL since the Agreement previously expired by its terms (see, analysis in paragraph C(2)(a) below), and (b) there was no obligation on the part of EEC to IGL in respect of EGHL’s activities in Qatar since EGHL and EEC ceased to be Affiliates, as such term is defined and used in the Agreement, shortly after the formation of EGHL and well in advance of any participation by EGHL in connection with the negotiation of the Term Sheet. </w:t>
      </w:r>
    </w:p>
    <w:p>
      <w:pPr>
        <w:pStyle w:val="Normal"/>
        <w:ind w:start="720" w:end="0"/>
        <w:jc w:val="both"/>
        <w:rPr>
          <w:rFonts w:ascii="Arial" w:hAnsi="Arial" w:cs="Arial"/>
          <w:sz w:val="22"/>
        </w:rPr>
      </w:pPr>
      <w:r>
        <w:rPr>
          <w:rFonts w:cs="Arial" w:ascii="Arial" w:hAnsi="Arial"/>
          <w:sz w:val="22"/>
        </w:rPr>
      </w:r>
    </w:p>
    <w:p>
      <w:pPr>
        <w:pStyle w:val="Normal"/>
        <w:ind w:hanging="696" w:start="1416" w:end="0"/>
        <w:jc w:val="both"/>
        <w:rPr>
          <w:rFonts w:ascii="Arial" w:hAnsi="Arial" w:cs="Arial"/>
          <w:sz w:val="22"/>
        </w:rPr>
      </w:pPr>
      <w:r>
        <w:rPr>
          <w:rFonts w:cs="Arial" w:ascii="Arial" w:hAnsi="Arial"/>
          <w:sz w:val="22"/>
        </w:rPr>
        <w:tab/>
        <w:t>To the extent that any potential liability of EGHL is predicated on an underlying obligation of EEC to IGL under the Agreement, EGHL should also be able to take advantage of the defenses available to EEC set forth in paragraph C(2) below.</w:t>
      </w:r>
    </w:p>
    <w:p>
      <w:pPr>
        <w:pStyle w:val="Normal"/>
        <w:ind w:start="720" w:end="0"/>
        <w:jc w:val="both"/>
        <w:rPr>
          <w:rFonts w:ascii="Arial" w:hAnsi="Arial" w:cs="Arial"/>
          <w:sz w:val="22"/>
        </w:rPr>
      </w:pPr>
      <w:r>
        <w:rPr>
          <w:rFonts w:cs="Arial" w:ascii="Arial" w:hAnsi="Arial"/>
          <w:sz w:val="22"/>
        </w:rPr>
      </w:r>
    </w:p>
    <w:p>
      <w:pPr>
        <w:pStyle w:val="Normal"/>
        <w:ind w:start="1416" w:end="0"/>
        <w:jc w:val="both"/>
        <w:rPr>
          <w:rFonts w:ascii="Arial" w:hAnsi="Arial" w:cs="Arial"/>
          <w:sz w:val="22"/>
        </w:rPr>
      </w:pPr>
      <w:r>
        <w:rPr>
          <w:rFonts w:cs="Arial" w:ascii="Arial" w:hAnsi="Arial"/>
          <w:sz w:val="22"/>
        </w:rPr>
        <w:t xml:space="preserve">Note: We should review the terms of the Share Exchange Agreement dated July 19, 1999 (as amended) between Enron Corp. and EOG, for potential indemnity obligations from EOG to Enron Corp. in order to evaluate whether it is possible to assert an indemnity claim in the event that IGL somehow manages to establish direct liability of EGHL or obtains an order requiring EEC to cause EGHL to make the requested transfer of interest. </w:t>
      </w:r>
    </w:p>
    <w:p>
      <w:pPr>
        <w:pStyle w:val="Normal"/>
        <w:jc w:val="both"/>
        <w:rPr>
          <w:rFonts w:ascii="Arial" w:hAnsi="Arial" w:cs="Arial"/>
          <w:sz w:val="22"/>
        </w:rPr>
      </w:pPr>
      <w:r>
        <w:rPr>
          <w:rFonts w:cs="Arial" w:ascii="Arial" w:hAnsi="Arial"/>
          <w:sz w:val="22"/>
        </w:rPr>
      </w:r>
    </w:p>
    <w:p>
      <w:pPr>
        <w:pStyle w:val="Normal"/>
        <w:tabs>
          <w:tab w:val="clear" w:pos="708"/>
          <w:tab w:val="left" w:pos="720" w:leader="none"/>
        </w:tabs>
        <w:ind w:hanging="1416" w:start="1416" w:end="0"/>
        <w:jc w:val="both"/>
        <w:rPr/>
      </w:pPr>
      <w:r>
        <w:rPr>
          <w:rFonts w:cs="Arial" w:ascii="Arial" w:hAnsi="Arial"/>
          <w:sz w:val="22"/>
        </w:rPr>
        <w:tab/>
        <w:t>2.</w:t>
        <w:tab/>
      </w:r>
      <w:r>
        <w:rPr>
          <w:rFonts w:cs="Arial" w:ascii="Arial" w:hAnsi="Arial"/>
          <w:sz w:val="22"/>
          <w:u w:val="single"/>
        </w:rPr>
        <w:t>EEC’s Obligations/Defenses</w:t>
      </w:r>
      <w:r>
        <w:rPr>
          <w:rFonts w:cs="Arial" w:ascii="Arial" w:hAnsi="Arial"/>
          <w:sz w:val="22"/>
        </w:rPr>
        <w:t>.   EEC appears to have a number of viable legal and equitable defenses against any potential liability to IGL, which defenses include (but may not be limited to) the following:</w:t>
      </w:r>
    </w:p>
    <w:p>
      <w:pPr>
        <w:pStyle w:val="Normal"/>
        <w:jc w:val="both"/>
        <w:rPr>
          <w:rFonts w:ascii="Arial" w:hAnsi="Arial" w:cs="Arial"/>
          <w:sz w:val="22"/>
        </w:rPr>
      </w:pPr>
      <w:r>
        <w:rPr>
          <w:rFonts w:cs="Arial" w:ascii="Arial" w:hAnsi="Arial"/>
          <w:sz w:val="22"/>
        </w:rPr>
      </w:r>
    </w:p>
    <w:p>
      <w:pPr>
        <w:pStyle w:val="Normal"/>
        <w:numPr>
          <w:ilvl w:val="0"/>
          <w:numId w:val="3"/>
        </w:numPr>
        <w:tabs>
          <w:tab w:val="clear" w:pos="708"/>
          <w:tab w:val="left" w:pos="2160" w:leader="none"/>
        </w:tabs>
        <w:ind w:hanging="747" w:start="2160" w:end="0"/>
        <w:jc w:val="both"/>
        <w:rPr>
          <w:rFonts w:ascii="Arial" w:hAnsi="Arial" w:cs="Arial"/>
          <w:sz w:val="22"/>
        </w:rPr>
      </w:pPr>
      <w:r>
        <w:rPr>
          <w:rFonts w:cs="Arial" w:ascii="Arial" w:hAnsi="Arial"/>
          <w:sz w:val="22"/>
        </w:rPr>
        <w:t xml:space="preserve">The Agreement expired by its terms on November 1, 1995.  If IGL argues that the Term of the Agreement was extended by the execution of the January 18, 1995 Letter of Intent between EI and QP (which would require IGL to show that the Letter of Intent constitutes an “interest in the Development Contract” per Section 10.1 of the Agreement), then the result is that the Agreement expired by its terms on March 31, 1996 (the date of expiration of the Letter of Intent).  To the extent that they are available under English law, the defenses of limitation, waiver, laches and estoppel may also be available to counter this liability claim since IGL has been aware of the existence of the Letter of Intent since the date of its execution and yet has taken no action to enforce the assignment provisions of the Agreement until now.  </w:t>
      </w:r>
    </w:p>
    <w:p>
      <w:pPr>
        <w:pStyle w:val="Normal"/>
        <w:ind w:start="1413" w:end="0"/>
        <w:jc w:val="both"/>
        <w:rPr>
          <w:rFonts w:ascii="Arial" w:hAnsi="Arial" w:cs="Arial"/>
          <w:sz w:val="22"/>
        </w:rPr>
      </w:pPr>
      <w:r>
        <w:rPr>
          <w:rFonts w:cs="Arial" w:ascii="Arial" w:hAnsi="Arial"/>
          <w:sz w:val="22"/>
        </w:rPr>
      </w:r>
    </w:p>
    <w:p>
      <w:pPr>
        <w:pStyle w:val="Normal"/>
        <w:tabs>
          <w:tab w:val="clear" w:pos="708"/>
          <w:tab w:val="left" w:pos="2160" w:leader="none"/>
        </w:tabs>
        <w:ind w:hanging="744" w:start="2160" w:end="0"/>
        <w:jc w:val="both"/>
        <w:rPr>
          <w:rFonts w:ascii="Arial" w:hAnsi="Arial" w:cs="Arial"/>
          <w:sz w:val="22"/>
        </w:rPr>
      </w:pPr>
      <w:r>
        <w:rPr>
          <w:rFonts w:cs="Arial" w:ascii="Arial" w:hAnsi="Arial"/>
          <w:sz w:val="22"/>
        </w:rPr>
        <w:tab/>
        <w:t>Interestingly, the Letter of Intent was signed four months before the May 18, 1995 amendment to the Agreement.  If IGL’s position is that the Letter of Intent constitutes an “interest in the Development Contract” as contemplated under the Agreement, it would seem that the May 18, 1995  amendment to the Agreement would not have been necessary, or at least would have taken a different form.</w:t>
      </w:r>
    </w:p>
    <w:p>
      <w:pPr>
        <w:pStyle w:val="Normal"/>
        <w:ind w:start="1413" w:end="0"/>
        <w:jc w:val="both"/>
        <w:rPr>
          <w:rFonts w:ascii="Arial" w:hAnsi="Arial" w:cs="Arial"/>
          <w:sz w:val="22"/>
        </w:rPr>
      </w:pPr>
      <w:r>
        <w:rPr>
          <w:rFonts w:cs="Arial" w:ascii="Arial" w:hAnsi="Arial"/>
          <w:sz w:val="22"/>
        </w:rPr>
      </w:r>
    </w:p>
    <w:p>
      <w:pPr>
        <w:pStyle w:val="BodyText"/>
        <w:numPr>
          <w:ilvl w:val="0"/>
          <w:numId w:val="3"/>
        </w:numPr>
        <w:tabs>
          <w:tab w:val="clear" w:pos="708"/>
          <w:tab w:val="left" w:pos="2160" w:leader="none"/>
        </w:tabs>
        <w:ind w:hanging="747" w:start="2160" w:end="0"/>
        <w:rPr>
          <w:rFonts w:cs="Arial"/>
        </w:rPr>
      </w:pPr>
      <w:r>
        <w:rPr>
          <w:rFonts w:cs="Arial"/>
        </w:rPr>
        <w:t>Assuming IGL bases its claim against EEC on the execution of the March 14, 2001 Term Sheet between QP and UOG, which appears to be the true basis of IGL’s demand letter, EEC should be able to forcefully argue the following in its defense:</w:t>
      </w:r>
    </w:p>
    <w:p>
      <w:pPr>
        <w:pStyle w:val="BodyText"/>
        <w:ind w:start="1413" w:end="0"/>
        <w:rPr>
          <w:rFonts w:cs="Arial"/>
        </w:rPr>
      </w:pPr>
      <w:r>
        <w:rPr>
          <w:rFonts w:cs="Arial"/>
        </w:rPr>
      </w:r>
    </w:p>
    <w:p>
      <w:pPr>
        <w:pStyle w:val="BodyText"/>
        <w:ind w:hanging="672" w:start="2832" w:end="0"/>
        <w:rPr>
          <w:rFonts w:cs="Arial"/>
        </w:rPr>
      </w:pPr>
      <w:r>
        <w:rPr>
          <w:rFonts w:cs="Arial"/>
        </w:rPr>
        <w:t>(i)</w:t>
        <w:tab/>
        <w:t>EGHL was not an “Affiliate” of EEC at the time the Term Sheet was executed (or for that matter, at the time it was negotiated), and as such EEC has no obligation to IGL in respect of the Term Sheet or any other contemporaneous Qatari natural gas development activities undertaken by EGHL.  At the time of execution of the Term Sheet, EGHL was not controlled by, did not control, and/or was not under common control with, EEC (using the 50% voting control test set forth in the Agreement).  As mentioned above, EGHL, an indirect wholly-owned subsidiary of Enron Corp., came into existence on June 7, 1999, and shortly thereafter on August 16, 1999, Enron Corp. divested its remaining indirect interest in EEC by virtue of the sale of the remainder of Enron Corp’s. interest in EEC’s parent, EOG; and</w:t>
      </w:r>
    </w:p>
    <w:p>
      <w:pPr>
        <w:pStyle w:val="BodyText"/>
        <w:ind w:firstLine="744" w:start="1416" w:end="0"/>
        <w:rPr>
          <w:rFonts w:cs="Arial"/>
        </w:rPr>
      </w:pPr>
      <w:r>
        <w:rPr>
          <w:rFonts w:cs="Arial"/>
        </w:rPr>
      </w:r>
    </w:p>
    <w:p>
      <w:pPr>
        <w:pStyle w:val="BodyText"/>
        <w:numPr>
          <w:ilvl w:val="1"/>
          <w:numId w:val="3"/>
        </w:numPr>
        <w:rPr>
          <w:rFonts w:cs="Arial"/>
        </w:rPr>
      </w:pPr>
      <w:r>
        <w:rPr>
          <w:rFonts w:cs="Arial"/>
        </w:rPr>
        <w:t xml:space="preserve">even if IGL can persuade an arbitrator that EGHL is somehow an “Affiliate” of EEC for purposes of the Agreement, there is presently no “interest” for EEC to assign or cause to be assigned to IGL since EGHL has no enforceable rights or legally recognizable interests under or pursuant to the Term Sheet.  EGHL is not a signatory to the Term Sheet -- for various political and strategic reasons the Project Dolpin participants agreed that only QP and UOG should sign the document.  This decision was presumably not taken to avoid any potential liability of EGHL or EEC to IGL under the Agreement. </w:t>
      </w:r>
    </w:p>
    <w:p>
      <w:pPr>
        <w:pStyle w:val="BodyText"/>
        <w:ind w:start="2133" w:end="0"/>
        <w:rPr>
          <w:rFonts w:cs="Arial"/>
        </w:rPr>
      </w:pPr>
      <w:r>
        <w:rPr>
          <w:rFonts w:cs="Arial"/>
        </w:rPr>
      </w:r>
    </w:p>
    <w:p>
      <w:pPr>
        <w:pStyle w:val="BodyText"/>
        <w:tabs>
          <w:tab w:val="clear" w:pos="708"/>
          <w:tab w:val="left" w:pos="2880" w:leader="none"/>
        </w:tabs>
        <w:ind w:hanging="720" w:start="2880" w:end="0"/>
        <w:rPr>
          <w:rFonts w:cs="Arial"/>
        </w:rPr>
      </w:pPr>
      <w:r>
        <w:rPr>
          <w:rFonts w:cs="Arial"/>
        </w:rPr>
        <w:tab/>
        <w:t>The recitals to the Term Sheet expressly reference that the contemplated definitive DPSA will include EGHL as a direct party signatory; however, unless some type of agency or trust relationship can be established between UOG and EGHL on this basis, it appears that IGL would be unable to show that EGHL presently has any enforceable rights or legally recognizable interests in connection with the Term Sheet.  In this regard, it may help to note that the PDA expressly provides that the relationship between OIC (UOG’s special purpose investment vehicle for Project Dolphin) and EGHL is not one of agency or partnership, and that neither party is authorized to bind the other.</w:t>
      </w:r>
    </w:p>
    <w:p>
      <w:pPr>
        <w:pStyle w:val="Normal"/>
        <w:tabs>
          <w:tab w:val="clear" w:pos="708"/>
          <w:tab w:val="left" w:pos="1440" w:leader="none"/>
        </w:tabs>
        <w:ind w:start="1443" w:end="0"/>
        <w:jc w:val="both"/>
        <w:rPr>
          <w:rFonts w:ascii="Arial" w:hAnsi="Arial" w:cs="Arial"/>
          <w:sz w:val="22"/>
        </w:rPr>
      </w:pPr>
      <w:r>
        <w:rPr>
          <w:rFonts w:cs="Arial" w:ascii="Arial" w:hAnsi="Arial"/>
          <w:sz w:val="22"/>
        </w:rPr>
      </w:r>
    </w:p>
    <w:p>
      <w:pPr>
        <w:pStyle w:val="Normal"/>
        <w:numPr>
          <w:ilvl w:val="0"/>
          <w:numId w:val="6"/>
        </w:numPr>
        <w:tabs>
          <w:tab w:val="clear" w:pos="708"/>
          <w:tab w:val="left" w:pos="1440" w:leader="none"/>
          <w:tab w:val="left" w:pos="2160" w:leader="none"/>
        </w:tabs>
        <w:ind w:hanging="717" w:start="2160" w:end="0"/>
        <w:jc w:val="both"/>
        <w:rPr>
          <w:rFonts w:ascii="Arial" w:hAnsi="Arial" w:cs="Arial"/>
          <w:sz w:val="22"/>
        </w:rPr>
      </w:pPr>
      <w:r>
        <w:rPr>
          <w:rFonts w:cs="Arial" w:ascii="Arial" w:hAnsi="Arial"/>
          <w:sz w:val="22"/>
        </w:rPr>
        <w:t>Further to subparagraph C(2)(b) above, a strong argument also exists that EEC has no obligation to IGL in respect of the Term Sheet since it is not a “Development Contract” as defined in the Agreement.  The Term Sheet is clear on its face that it is not intended to provide any legally binding rights or obligations in respect of the exploration and development of natural gas reserves in the North Field.  The Term Sheet merely binds QP and UOG to negotiate in good faith a binding, definitive agreement that covers, among other things, the basic commercial exploration and production terms set forth in the Term Sheet.  The Term Sheet clearly provides that any binding obligation in respect of exploration and development activities is subject to the execution of a mutually acceptable definitive agreement (the DPSA), and the Term Sheet further provides that it will expire by its terms without further obligation or liability on September 14, 2001 if the contemplated definitive DPSA is not executed.</w:t>
      </w:r>
    </w:p>
    <w:p>
      <w:pPr>
        <w:pStyle w:val="Normal"/>
        <w:tabs>
          <w:tab w:val="clear" w:pos="708"/>
          <w:tab w:val="left" w:pos="1440" w:leader="none"/>
        </w:tabs>
        <w:ind w:start="1443" w:end="0"/>
        <w:jc w:val="both"/>
        <w:rPr>
          <w:rFonts w:ascii="Arial" w:hAnsi="Arial" w:cs="Arial"/>
          <w:sz w:val="22"/>
        </w:rPr>
      </w:pPr>
      <w:r>
        <w:rPr>
          <w:rFonts w:cs="Arial" w:ascii="Arial" w:hAnsi="Arial"/>
          <w:sz w:val="22"/>
        </w:rPr>
      </w:r>
    </w:p>
    <w:p>
      <w:pPr>
        <w:pStyle w:val="Normal"/>
        <w:numPr>
          <w:ilvl w:val="0"/>
          <w:numId w:val="6"/>
        </w:numPr>
        <w:tabs>
          <w:tab w:val="clear" w:pos="708"/>
          <w:tab w:val="left" w:pos="1440" w:leader="none"/>
          <w:tab w:val="left" w:pos="2160" w:leader="none"/>
        </w:tabs>
        <w:ind w:hanging="717" w:start="2160" w:end="0"/>
        <w:jc w:val="both"/>
        <w:rPr>
          <w:rFonts w:ascii="Arial" w:hAnsi="Arial" w:cs="Arial"/>
          <w:sz w:val="22"/>
        </w:rPr>
      </w:pPr>
      <w:r>
        <w:rPr>
          <w:rFonts w:cs="Arial" w:ascii="Arial" w:hAnsi="Arial"/>
          <w:sz w:val="22"/>
        </w:rPr>
        <w:t xml:space="preserve">EEC may also defend against IGL’s claim by arguing that the Term Sheet is not a Development Contract since it was not “awarded by the Government,” as such condition is used in the Agreement (the basis for this position is that QP does not enjoy sovereign lawmaking or enforcement powers); however, this argument is not as strong as the preceding defenses.  While it is true that QP, as a corporation organized under the laws of the State of Qatar, is not technically the Government of the State of Qatar since it does not enjoy traditional sovereign lawmaking or enforcement powers, QP is in fact wholly-owned by the Government of the State of Qatar and it is authorized to act on behalf of the Government within certain statutory parameters in connection with petroleum exploration and development matters.  Hence, QP is in effect a corporate agency of Government of the State of Qatar and it is authorized to bind the Government to matters within its limited statutory mandate.  </w:t>
      </w:r>
    </w:p>
    <w:p>
      <w:pPr>
        <w:pStyle w:val="Normal"/>
        <w:tabs>
          <w:tab w:val="clear" w:pos="708"/>
          <w:tab w:val="left" w:pos="1440" w:leader="none"/>
        </w:tabs>
        <w:jc w:val="both"/>
        <w:rPr>
          <w:rFonts w:ascii="Arial" w:hAnsi="Arial" w:cs="Arial"/>
          <w:sz w:val="22"/>
        </w:rPr>
      </w:pPr>
      <w:r>
        <w:rPr>
          <w:rFonts w:cs="Arial" w:ascii="Arial" w:hAnsi="Arial"/>
          <w:sz w:val="22"/>
        </w:rPr>
      </w:r>
    </w:p>
    <w:p>
      <w:pPr>
        <w:pStyle w:val="Normal"/>
        <w:tabs>
          <w:tab w:val="clear" w:pos="708"/>
          <w:tab w:val="left" w:pos="1440" w:leader="none"/>
        </w:tabs>
        <w:ind w:hanging="681" w:start="2124" w:end="0"/>
        <w:jc w:val="both"/>
        <w:rPr>
          <w:rFonts w:ascii="Arial" w:hAnsi="Arial" w:cs="Arial"/>
          <w:sz w:val="22"/>
        </w:rPr>
      </w:pPr>
      <w:r>
        <w:rPr>
          <w:rFonts w:cs="Arial" w:ascii="Arial" w:hAnsi="Arial"/>
          <w:sz w:val="22"/>
        </w:rPr>
        <w:tab/>
        <w:t xml:space="preserve">Notwithstanding the foregoing, it is not uncommon for both QP and the Government of the State of Qatar to sign agreements such as the DPSA in their separate, individual capacities, since such agreements typically contain various fiscal arrangements and other concessions that QP is not statutorily authorized to grant.  In fact, it is contemplated that both QP and the Government of the State of Qatar will sign the DPSA in connection with Project Dolphin for this very reason.      </w:t>
      </w:r>
    </w:p>
    <w:p>
      <w:pPr>
        <w:pStyle w:val="Normal"/>
        <w:tabs>
          <w:tab w:val="clear" w:pos="708"/>
          <w:tab w:val="left" w:pos="1440" w:leader="none"/>
        </w:tabs>
        <w:ind w:start="1443" w:end="0"/>
        <w:jc w:val="both"/>
        <w:rPr>
          <w:rFonts w:ascii="Arial" w:hAnsi="Arial" w:cs="Arial"/>
          <w:sz w:val="22"/>
        </w:rPr>
      </w:pPr>
      <w:r>
        <w:rPr>
          <w:rFonts w:cs="Arial" w:ascii="Arial" w:hAnsi="Arial"/>
          <w:sz w:val="22"/>
        </w:rPr>
      </w:r>
    </w:p>
    <w:p>
      <w:pPr>
        <w:pStyle w:val="Normal"/>
        <w:ind w:hanging="720" w:start="2160" w:end="0"/>
        <w:jc w:val="both"/>
        <w:rPr>
          <w:rFonts w:ascii="Arial" w:hAnsi="Arial" w:cs="Arial"/>
          <w:sz w:val="22"/>
        </w:rPr>
      </w:pPr>
      <w:r>
        <w:rPr>
          <w:rFonts w:cs="Arial" w:ascii="Arial" w:hAnsi="Arial"/>
          <w:sz w:val="22"/>
        </w:rPr>
        <w:t>e.</w:t>
        <w:tab/>
        <w:t>EEC may also defend IGL’s claim on the basis that the conditions set forth in Article 3 of the Agreement, which are required in order for EEC to have any obligation to assign a partcipating interest in any Development Contract to IGL, have not been met since (i) neither EEC nor EGHL have “accepted and executed” the Term Sheet, (ii) the Government of the State of Qatar has not granted its consent to any such assignment by EGHL to IGL, (iii) neither OIC nor TFE have granted their consent to any such assignment by EGHL to IGL (note that the PDA contains a 5 year general moratorium on this type of transfer of interests).  Of course, IGL’s response to this argument will be to seek an order compelling EEC to satisfy such conditions.</w:t>
      </w:r>
    </w:p>
    <w:p>
      <w:pPr>
        <w:pStyle w:val="Normal"/>
        <w:tabs>
          <w:tab w:val="clear" w:pos="708"/>
          <w:tab w:val="left" w:pos="1440" w:leader="none"/>
        </w:tabs>
        <w:ind w:hanging="681" w:start="2124" w:end="0"/>
        <w:jc w:val="both"/>
        <w:rPr>
          <w:rFonts w:ascii="Arial" w:hAnsi="Arial" w:cs="Arial"/>
          <w:sz w:val="22"/>
        </w:rPr>
      </w:pPr>
      <w:r>
        <w:rPr>
          <w:rFonts w:cs="Arial" w:ascii="Arial" w:hAnsi="Arial"/>
          <w:sz w:val="22"/>
        </w:rPr>
      </w:r>
    </w:p>
    <w:p>
      <w:pPr>
        <w:pStyle w:val="Normal"/>
        <w:numPr>
          <w:ilvl w:val="0"/>
          <w:numId w:val="4"/>
        </w:numPr>
        <w:tabs>
          <w:tab w:val="clear" w:pos="708"/>
          <w:tab w:val="left" w:pos="1440" w:leader="none"/>
          <w:tab w:val="left" w:pos="2160" w:leader="none"/>
        </w:tabs>
        <w:ind w:hanging="717" w:start="2160" w:end="0"/>
        <w:jc w:val="both"/>
        <w:rPr>
          <w:rFonts w:ascii="Arial" w:hAnsi="Arial" w:cs="Arial"/>
          <w:sz w:val="22"/>
        </w:rPr>
      </w:pPr>
      <w:r>
        <w:rPr>
          <w:rFonts w:cs="Arial" w:ascii="Arial" w:hAnsi="Arial"/>
          <w:sz w:val="22"/>
        </w:rPr>
        <w:t>It may also be argued that it would be inequitable and contrary to the terms of the Agreement to require such a transfer or to otherwise impose liability on EEC (or for that matter, EGHL) under the circumstances since:</w:t>
      </w:r>
    </w:p>
    <w:p>
      <w:pPr>
        <w:pStyle w:val="Normal"/>
        <w:tabs>
          <w:tab w:val="clear" w:pos="708"/>
          <w:tab w:val="left" w:pos="1440" w:leader="none"/>
        </w:tabs>
        <w:ind w:start="1443" w:end="0"/>
        <w:jc w:val="both"/>
        <w:rPr>
          <w:rFonts w:ascii="Arial" w:hAnsi="Arial" w:cs="Arial"/>
          <w:sz w:val="22"/>
        </w:rPr>
      </w:pPr>
      <w:r>
        <w:rPr>
          <w:rFonts w:cs="Arial" w:ascii="Arial" w:hAnsi="Arial"/>
          <w:sz w:val="22"/>
        </w:rPr>
      </w:r>
    </w:p>
    <w:p>
      <w:pPr>
        <w:pStyle w:val="Normal"/>
        <w:numPr>
          <w:ilvl w:val="1"/>
          <w:numId w:val="4"/>
        </w:numPr>
        <w:tabs>
          <w:tab w:val="clear" w:pos="708"/>
          <w:tab w:val="left" w:pos="1440" w:leader="none"/>
          <w:tab w:val="left" w:pos="2160" w:leader="none"/>
        </w:tabs>
        <w:jc w:val="both"/>
        <w:rPr>
          <w:rFonts w:ascii="Arial" w:hAnsi="Arial" w:cs="Arial"/>
          <w:sz w:val="22"/>
        </w:rPr>
      </w:pPr>
      <w:r>
        <w:rPr>
          <w:rFonts w:cs="Arial" w:ascii="Arial" w:hAnsi="Arial"/>
          <w:sz w:val="22"/>
        </w:rPr>
        <w:t xml:space="preserve">the activities undertaken by EGHL in connection with Project Dolphin are outside the scope of activities contemplated by EEC and IGL in connection with the Agreement.  The Agreement was entered into in connection with a semi-private Qatari-based LNG production and export project, while Project Dolphin is primarily a dual Government-led natural gas pipeline export-import project with no contemplation of producing or marketing LNG; and </w:t>
      </w:r>
    </w:p>
    <w:p>
      <w:pPr>
        <w:pStyle w:val="Normal"/>
        <w:tabs>
          <w:tab w:val="clear" w:pos="708"/>
          <w:tab w:val="left" w:pos="1440" w:leader="none"/>
          <w:tab w:val="left" w:pos="2160" w:leader="none"/>
        </w:tabs>
        <w:ind w:start="2163" w:end="0"/>
        <w:jc w:val="both"/>
        <w:rPr>
          <w:rFonts w:ascii="Arial" w:hAnsi="Arial" w:cs="Arial"/>
          <w:sz w:val="22"/>
        </w:rPr>
      </w:pPr>
      <w:r>
        <w:rPr>
          <w:rFonts w:cs="Arial" w:ascii="Arial" w:hAnsi="Arial"/>
          <w:sz w:val="22"/>
        </w:rPr>
      </w:r>
    </w:p>
    <w:p>
      <w:pPr>
        <w:pStyle w:val="Normal"/>
        <w:numPr>
          <w:ilvl w:val="1"/>
          <w:numId w:val="4"/>
        </w:numPr>
        <w:tabs>
          <w:tab w:val="clear" w:pos="708"/>
          <w:tab w:val="left" w:pos="1440" w:leader="none"/>
          <w:tab w:val="left" w:pos="2160" w:leader="none"/>
        </w:tabs>
        <w:jc w:val="both"/>
        <w:rPr>
          <w:rFonts w:ascii="Arial" w:hAnsi="Arial" w:cs="Arial"/>
          <w:sz w:val="22"/>
        </w:rPr>
      </w:pPr>
      <w:r>
        <w:rPr>
          <w:rFonts w:cs="Arial" w:ascii="Arial" w:hAnsi="Arial"/>
          <w:sz w:val="22"/>
        </w:rPr>
        <w:t xml:space="preserve">IGL provided absolutely no advice or assistance to EGHL (or EEC) in connection with Project Dolphin.  The support and participation of the State of Qatar in connection with Project Dolphin was largely influenced by strong economic benefits, a desire to increase natural gas exports and stimulate local employment and investment, strong political ties to the ruling family of the UAE and a significant state financial aid package arranged by the Government of the UAE for the benefit of the State of Qatar. </w:t>
      </w:r>
    </w:p>
    <w:p>
      <w:pPr>
        <w:pStyle w:val="Normal"/>
        <w:jc w:val="both"/>
        <w:rPr>
          <w:rFonts w:ascii="Arial" w:hAnsi="Arial" w:cs="Arial"/>
          <w:b/>
          <w:bCs/>
          <w:sz w:val="24"/>
        </w:rPr>
      </w:pPr>
      <w:r>
        <w:rPr>
          <w:rFonts w:cs="Arial" w:ascii="Arial" w:hAnsi="Arial"/>
          <w:b/>
          <w:bCs/>
          <w:sz w:val="24"/>
        </w:rPr>
      </w:r>
    </w:p>
    <w:p>
      <w:pPr>
        <w:pStyle w:val="ssPara1"/>
        <w:numPr>
          <w:ilvl w:val="2"/>
          <w:numId w:val="4"/>
        </w:numPr>
        <w:tabs>
          <w:tab w:val="clear" w:pos="708"/>
          <w:tab w:val="left" w:pos="720" w:leader="none"/>
        </w:tabs>
        <w:ind w:hanging="720" w:start="720" w:end="0"/>
        <w:rPr>
          <w:b/>
          <w:bCs/>
          <w:sz w:val="24"/>
        </w:rPr>
      </w:pPr>
      <w:r>
        <w:rPr>
          <w:b/>
          <w:bCs/>
          <w:sz w:val="24"/>
        </w:rPr>
        <w:t xml:space="preserve">Additional Agreements with IGL Affiliates.  </w:t>
      </w:r>
    </w:p>
    <w:p>
      <w:pPr>
        <w:pStyle w:val="ssPara1"/>
        <w:tabs>
          <w:tab w:val="clear" w:pos="708"/>
          <w:tab w:val="left" w:pos="720" w:leader="none"/>
        </w:tabs>
        <w:ind w:hanging="720" w:start="720" w:end="0"/>
        <w:rPr/>
      </w:pPr>
      <w:r>
        <w:rPr/>
        <w:tab/>
        <w:t xml:space="preserve">I have been able to locate and briefly review the following additional agreements with various IGL affiliates in connection with the Qatar LNG Project, and recommend that we consider whether the existence or terms of any of these agreements lend support or defense to IGL’s present claim:  </w:t>
      </w:r>
    </w:p>
    <w:p>
      <w:pPr>
        <w:pStyle w:val="BodyText"/>
        <w:numPr>
          <w:ilvl w:val="3"/>
          <w:numId w:val="4"/>
        </w:numPr>
        <w:tabs>
          <w:tab w:val="clear" w:pos="708"/>
          <w:tab w:val="left" w:pos="1440" w:leader="none"/>
        </w:tabs>
        <w:ind w:hanging="720" w:start="1440" w:end="0"/>
        <w:rPr/>
      </w:pPr>
      <w:r>
        <w:rPr>
          <w:u w:val="single"/>
        </w:rPr>
        <w:t>Letter Agreement between EEC and Trans Arabian Energy Inc</w:t>
      </w:r>
      <w:r>
        <w:rPr/>
        <w:t>.  EEC signed a letter agreement dated July 15, 1994 with Trans Arabian Energy Inc. (“</w:t>
      </w:r>
      <w:r>
        <w:rPr>
          <w:u w:val="single"/>
        </w:rPr>
        <w:t>TAE</w:t>
      </w:r>
      <w:r>
        <w:rPr/>
        <w:t xml:space="preserve">”) (an affiliate of IGL), generally covering (a) the conduct of a study by TAE of available LNG vessels for use in connection with the Qatar LNG project, and (ii) the respective rights and obligations of the parties in connection with the joint arrangement, ownership and contracting of LNG vessels to provide transportation of LNG from the Qatar LNG project to customers in Israel.  These development activities were subsequently abandoned, as outlined in paragraph B(2)(a) above. </w:t>
      </w:r>
    </w:p>
    <w:p>
      <w:pPr>
        <w:pStyle w:val="BodyText"/>
        <w:rPr/>
      </w:pPr>
      <w:r>
        <w:rPr/>
      </w:r>
    </w:p>
    <w:p>
      <w:pPr>
        <w:pStyle w:val="BodyText"/>
        <w:numPr>
          <w:ilvl w:val="3"/>
          <w:numId w:val="4"/>
        </w:numPr>
        <w:tabs>
          <w:tab w:val="clear" w:pos="708"/>
          <w:tab w:val="left" w:pos="1440" w:leader="none"/>
        </w:tabs>
        <w:ind w:hanging="720" w:start="1440" w:end="0"/>
        <w:rPr>
          <w:rFonts w:cs="Arial"/>
        </w:rPr>
      </w:pPr>
      <w:r>
        <w:rPr>
          <w:u w:val="single"/>
        </w:rPr>
        <w:t>Consulting Agreement between Enron Qatar Ltd. and TAE</w:t>
      </w:r>
      <w:r>
        <w:rPr/>
        <w:t>.  Enron Qatar Ltd. (“</w:t>
      </w:r>
      <w:r>
        <w:rPr>
          <w:u w:val="single"/>
        </w:rPr>
        <w:t>EQL</w:t>
      </w:r>
      <w:r>
        <w:rPr/>
        <w:t>”) (an indirect, wholly-owned subsidiary of Enron Corp.) and TAE entered into a Consulting Agreement dated June 10, 1995 (the “</w:t>
      </w:r>
      <w:r>
        <w:rPr>
          <w:u w:val="single"/>
        </w:rPr>
        <w:t>Consulting Agreement</w:t>
      </w:r>
      <w:r>
        <w:rPr/>
        <w:t xml:space="preserve">”), which generally provided for the rendition of advisory and consultancy services by TAE to EQL in connection with EQL’s development of a potential LNG receiving terminal and regasification project for the import of LNG into Israel and adjacent countries, in exchange for certain cash payments from EQL to TAE and the reservation of a 5% participating interest in any rights EQL may have in connection with any contract providing for the development of such LNG receiving terminal and regasification project.  </w:t>
      </w:r>
      <w:r>
        <w:rPr>
          <w:rFonts w:cs="Arial"/>
        </w:rPr>
        <w:t xml:space="preserve">The Consulting Agreement expired by its terms on June 30, 1997; provided however, that it states that its term shall extend through the expiration or termination of any Development Contract for such LNG receiving terminal and regasification project that is entered into by EQL or its Affiliate prior to June 30, 1997.  </w:t>
      </w:r>
    </w:p>
    <w:p>
      <w:pPr>
        <w:pStyle w:val="BodyText"/>
        <w:tabs>
          <w:tab w:val="clear" w:pos="708"/>
          <w:tab w:val="left" w:pos="1440" w:leader="none"/>
        </w:tabs>
        <w:rPr>
          <w:rFonts w:cs="Arial"/>
        </w:rPr>
      </w:pPr>
      <w:r>
        <w:rPr>
          <w:rFonts w:cs="Arial"/>
        </w:rPr>
      </w:r>
    </w:p>
    <w:p>
      <w:pPr>
        <w:pStyle w:val="BodyText"/>
        <w:tabs>
          <w:tab w:val="clear" w:pos="708"/>
          <w:tab w:val="left" w:pos="1440" w:leader="none"/>
        </w:tabs>
        <w:ind w:start="1440" w:end="0"/>
        <w:rPr>
          <w:rFonts w:cs="Arial"/>
        </w:rPr>
      </w:pPr>
      <w:r>
        <w:rPr>
          <w:rFonts w:cs="Arial"/>
        </w:rPr>
        <w:t>Enron Corp. guaranteed EQL’s payment obligations pursuant to the Consulting Agreement by way of a guaranty letter dated June 10, 1995, and Mohamed Ajami, the principal shareholder of TAE (and incidentally, IGL) made several personal convenants, representations and warranties to EQL, including several relating to FCPA compliance, in a letter agreement dated June 10, 1995.</w:t>
      </w:r>
    </w:p>
    <w:p>
      <w:pPr>
        <w:pStyle w:val="Normal"/>
        <w:ind w:start="708" w:end="0"/>
        <w:jc w:val="both"/>
        <w:rPr>
          <w:rFonts w:ascii="Arial" w:hAnsi="Arial" w:cs="Arial"/>
          <w:sz w:val="22"/>
        </w:rPr>
      </w:pPr>
      <w:r>
        <w:rPr>
          <w:rFonts w:cs="Arial" w:ascii="Arial" w:hAnsi="Arial"/>
          <w:sz w:val="22"/>
        </w:rPr>
      </w:r>
    </w:p>
    <w:p>
      <w:pPr>
        <w:pStyle w:val="ssPara1"/>
        <w:ind w:start="1440" w:end="0"/>
        <w:rPr>
          <w:rFonts w:cs="Arial"/>
        </w:rPr>
      </w:pPr>
      <w:r>
        <w:rPr>
          <w:rFonts w:cs="Arial"/>
        </w:rPr>
        <w:t>Note: EQL was incorporated on January 18, 1995 as an indirect, wholly-owned subsidiary of Enron Corp. and has remained so to the present date.  EQL presently maintains a small representative office in Doha, Qatar which is manned by a single seconded employee.</w:t>
      </w:r>
    </w:p>
    <w:p>
      <w:pPr>
        <w:pStyle w:val="Normal"/>
        <w:tabs>
          <w:tab w:val="clear" w:pos="708"/>
          <w:tab w:val="left" w:pos="720" w:leader="none"/>
        </w:tabs>
        <w:ind w:hanging="1416" w:start="1416" w:end="0"/>
        <w:jc w:val="both"/>
        <w:rPr/>
      </w:pPr>
      <w:r>
        <w:rPr>
          <w:rFonts w:cs="Arial" w:ascii="Arial" w:hAnsi="Arial"/>
          <w:sz w:val="22"/>
        </w:rPr>
        <w:tab/>
        <w:t>3.</w:t>
        <w:tab/>
      </w:r>
      <w:r>
        <w:rPr>
          <w:rFonts w:cs="Arial" w:ascii="Arial" w:hAnsi="Arial"/>
          <w:sz w:val="22"/>
          <w:u w:val="single"/>
        </w:rPr>
        <w:t>Employee Secondment Agreement among EQL, Mohamad Ajami and Badruddin Hussain Miya Nakhwa</w:t>
      </w:r>
      <w:r>
        <w:rPr>
          <w:rFonts w:cs="Arial" w:ascii="Arial" w:hAnsi="Arial"/>
          <w:sz w:val="22"/>
        </w:rPr>
        <w:t>.  On February 1, 1996, EQL, Mohamad Ajami (“</w:t>
      </w:r>
      <w:r>
        <w:rPr>
          <w:rFonts w:cs="Arial" w:ascii="Arial" w:hAnsi="Arial"/>
          <w:sz w:val="22"/>
          <w:u w:val="single"/>
        </w:rPr>
        <w:t>Ajami</w:t>
      </w:r>
      <w:r>
        <w:rPr>
          <w:rFonts w:cs="Arial" w:ascii="Arial" w:hAnsi="Arial"/>
          <w:sz w:val="22"/>
        </w:rPr>
        <w:t>”) (a principal shareholder in both IGL and TAE) and Badruddin Hussain Miya Nakhwa (“</w:t>
      </w:r>
      <w:r>
        <w:rPr>
          <w:rFonts w:cs="Arial" w:ascii="Arial" w:hAnsi="Arial"/>
          <w:sz w:val="22"/>
          <w:u w:val="single"/>
        </w:rPr>
        <w:t>Nakhwa</w:t>
      </w:r>
      <w:r>
        <w:rPr>
          <w:rFonts w:cs="Arial" w:ascii="Arial" w:hAnsi="Arial"/>
          <w:sz w:val="22"/>
        </w:rPr>
        <w:t>”) entered into an Employee Secondment Agreement (the “</w:t>
      </w:r>
      <w:r>
        <w:rPr>
          <w:rFonts w:cs="Arial" w:ascii="Arial" w:hAnsi="Arial"/>
          <w:sz w:val="22"/>
          <w:u w:val="single"/>
        </w:rPr>
        <w:t>Secondment Agreement</w:t>
      </w:r>
      <w:r>
        <w:rPr>
          <w:rFonts w:cs="Arial" w:ascii="Arial" w:hAnsi="Arial"/>
          <w:sz w:val="22"/>
        </w:rPr>
        <w:t>”), which provides for the loan of Nakhwa’s services by Ajami to EQL.  The Secondment Agreement provides for certain base compensation and housing and travel allowances to cover the expenses of Nakhwa, in exchange for    Ajami’s agreement to make Nakhwa available to EQL to serve as Office Manager at EQL’s offices in Doha, Qatar.  The Secondment Agreement expired by its terms on January 31, 1997.</w:t>
      </w:r>
    </w:p>
    <w:p>
      <w:pPr>
        <w:pStyle w:val="Normal"/>
        <w:tabs>
          <w:tab w:val="clear" w:pos="708"/>
          <w:tab w:val="left" w:pos="720" w:leader="none"/>
        </w:tabs>
        <w:ind w:start="3063" w:end="0"/>
        <w:jc w:val="both"/>
        <w:rPr>
          <w:rFonts w:ascii="Arial" w:hAnsi="Arial" w:cs="Arial"/>
          <w:sz w:val="22"/>
        </w:rPr>
      </w:pPr>
      <w:r>
        <w:rPr>
          <w:rFonts w:cs="Arial" w:ascii="Arial" w:hAnsi="Arial"/>
          <w:sz w:val="22"/>
        </w:rPr>
      </w:r>
    </w:p>
    <w:p>
      <w:pPr>
        <w:pStyle w:val="Normal"/>
        <w:tabs>
          <w:tab w:val="clear" w:pos="708"/>
          <w:tab w:val="left" w:pos="720" w:leader="none"/>
        </w:tabs>
        <w:ind w:hanging="720" w:start="720" w:end="0"/>
        <w:jc w:val="both"/>
        <w:rPr>
          <w:rFonts w:ascii="Arial" w:hAnsi="Arial" w:cs="Arial"/>
          <w:b/>
          <w:bCs/>
          <w:sz w:val="24"/>
        </w:rPr>
      </w:pPr>
      <w:r>
        <w:rPr>
          <w:rFonts w:cs="Arial" w:ascii="Arial" w:hAnsi="Arial"/>
          <w:b/>
          <w:bCs/>
          <w:sz w:val="24"/>
        </w:rPr>
        <w:t>E.</w:t>
        <w:tab/>
        <w:t xml:space="preserve">Postscript.  </w:t>
      </w:r>
    </w:p>
    <w:p>
      <w:pPr>
        <w:pStyle w:val="ssPara1"/>
        <w:tabs>
          <w:tab w:val="clear" w:pos="708"/>
          <w:tab w:val="left" w:pos="720" w:leader="none"/>
        </w:tabs>
        <w:spacing w:before="0" w:after="0"/>
        <w:rPr>
          <w:rFonts w:ascii="Arial" w:hAnsi="Arial" w:cs="Arial"/>
          <w:b/>
          <w:bCs/>
          <w:sz w:val="24"/>
          <w:lang w:val="en-US"/>
        </w:rPr>
      </w:pPr>
      <w:r>
        <w:rPr>
          <w:rFonts w:cs="Arial"/>
          <w:b/>
          <w:bCs/>
          <w:sz w:val="24"/>
          <w:lang w:val="en-US"/>
        </w:rPr>
      </w:r>
    </w:p>
    <w:p>
      <w:pPr>
        <w:pStyle w:val="Normal"/>
        <w:tabs>
          <w:tab w:val="clear" w:pos="708"/>
          <w:tab w:val="left" w:pos="720" w:leader="none"/>
        </w:tabs>
        <w:ind w:hanging="720" w:start="720" w:end="0"/>
        <w:jc w:val="both"/>
        <w:rPr/>
      </w:pPr>
      <w:r>
        <w:rPr>
          <w:rFonts w:cs="Arial" w:ascii="Arial" w:hAnsi="Arial"/>
          <w:sz w:val="22"/>
        </w:rPr>
        <w:tab/>
        <w:t>Finally, it may help in evaluating our defensive position to note that EGHL may no longer maintain any interest in Project Dolphin or potentially acquire any interest in any Development Contract as a result of its tender of a Preliminary Termination Notice (“</w:t>
      </w:r>
      <w:r>
        <w:rPr>
          <w:rFonts w:cs="Arial" w:ascii="Arial" w:hAnsi="Arial"/>
          <w:sz w:val="22"/>
          <w:u w:val="single"/>
        </w:rPr>
        <w:t>PTN</w:t>
      </w:r>
      <w:r>
        <w:rPr>
          <w:rFonts w:cs="Arial" w:ascii="Arial" w:hAnsi="Arial"/>
          <w:sz w:val="22"/>
        </w:rPr>
        <w:t>”) to OIC and TFE pursuant to the PDA on April 11, 2001.  Unless the PTN is withdrawn within 45 days from the date it was given, EGHL will become entitled to receive a refund of its initial US$25 million equity investment (secured by an irrevocable letter of credit maintained by a bank in London) and will be required to return all of its shares in DEL as of May 26, 2001.</w:t>
      </w:r>
    </w:p>
    <w:p>
      <w:pPr>
        <w:pStyle w:val="ssPara1"/>
        <w:tabs>
          <w:tab w:val="clear" w:pos="708"/>
          <w:tab w:val="left" w:pos="720" w:leader="none"/>
        </w:tabs>
        <w:spacing w:before="0" w:after="0"/>
        <w:rPr>
          <w:rFonts w:ascii="Arial" w:hAnsi="Arial" w:cs="Arial"/>
          <w:sz w:val="22"/>
          <w:lang w:val="en-US"/>
        </w:rPr>
      </w:pPr>
      <w:r>
        <w:rPr>
          <w:rFonts w:cs="Arial"/>
          <w:sz w:val="22"/>
          <w:lang w:val="en-US"/>
        </w:rPr>
      </w:r>
    </w:p>
    <w:p>
      <w:pPr>
        <w:pStyle w:val="Normal"/>
        <w:numPr>
          <w:ilvl w:val="2"/>
          <w:numId w:val="3"/>
        </w:numPr>
        <w:tabs>
          <w:tab w:val="clear" w:pos="708"/>
          <w:tab w:val="left" w:pos="720" w:leader="none"/>
        </w:tabs>
        <w:ind w:hanging="630" w:start="630" w:end="0"/>
        <w:jc w:val="both"/>
        <w:rPr>
          <w:rFonts w:ascii="Arial" w:hAnsi="Arial" w:cs="Arial"/>
          <w:b/>
          <w:bCs/>
          <w:sz w:val="24"/>
        </w:rPr>
      </w:pPr>
      <w:r>
        <w:rPr>
          <w:rFonts w:cs="Arial" w:ascii="Arial" w:hAnsi="Arial"/>
          <w:b/>
          <w:bCs/>
          <w:sz w:val="24"/>
        </w:rPr>
        <w:t>Copies of Agreements.</w:t>
      </w:r>
    </w:p>
    <w:p>
      <w:pPr>
        <w:pStyle w:val="Normal"/>
        <w:tabs>
          <w:tab w:val="clear" w:pos="708"/>
          <w:tab w:val="left" w:pos="720" w:leader="none"/>
        </w:tabs>
        <w:jc w:val="both"/>
        <w:rPr>
          <w:rFonts w:ascii="Arial" w:hAnsi="Arial" w:cs="Arial"/>
          <w:b/>
          <w:bCs/>
          <w:sz w:val="22"/>
        </w:rPr>
      </w:pPr>
      <w:r>
        <w:rPr>
          <w:rFonts w:cs="Arial" w:ascii="Arial" w:hAnsi="Arial"/>
          <w:b/>
          <w:bCs/>
          <w:sz w:val="22"/>
        </w:rPr>
      </w:r>
    </w:p>
    <w:p>
      <w:pPr>
        <w:pStyle w:val="Normal"/>
        <w:tabs>
          <w:tab w:val="clear" w:pos="708"/>
          <w:tab w:val="left" w:pos="720" w:leader="none"/>
        </w:tabs>
        <w:ind w:hanging="720" w:start="720" w:end="0"/>
        <w:jc w:val="both"/>
        <w:rPr>
          <w:rFonts w:ascii="Arial" w:hAnsi="Arial" w:cs="Arial"/>
          <w:sz w:val="22"/>
        </w:rPr>
      </w:pPr>
      <w:r>
        <w:rPr>
          <w:rFonts w:cs="Arial" w:ascii="Arial" w:hAnsi="Arial"/>
          <w:sz w:val="22"/>
        </w:rPr>
        <w:tab/>
        <w:t>I am arranging to have copies made of the various agreements referenced in this memorandum for your review.  Many of these documents contain confidentiality restrictions which will need to be considered in connection with using such documents in connection with evaluating and presenting any defense to IGL’s claim.  In particular, the Term Sheet between QP and UOG contains highly sensitive commercial information that would be very troublesome if such document or terms became available to competitors of Project Dolphin or to others desiring to engage in the upstream oil and gas business in Qatar.  Since EGHL is not a signatory to the Term Sheet, there is no contractual  confidentiality obligation to QP under such document; however, UOG would possibly have exposure to QP under the Term Sheet (based on a breach by an affiliate), and would in turn try to seek recovery against EGHL under the PDA, which does contain restrictions on the disclosure by EGHL of sensitive documents and data generated in connection with Project Dolphin.  Thus, there may be potential exposure to EGHL from UOG and TFE in the event that the Term Sheet is disclosed contrary to the terms of the PDA and liability and damages can be shown.</w:t>
      </w:r>
    </w:p>
    <w:p>
      <w:pPr>
        <w:pStyle w:val="Normal"/>
        <w:tabs>
          <w:tab w:val="clear" w:pos="708"/>
          <w:tab w:val="left" w:pos="720" w:leader="none"/>
        </w:tabs>
        <w:jc w:val="both"/>
        <w:rPr>
          <w:rFonts w:ascii="Arial" w:hAnsi="Arial" w:cs="Arial"/>
          <w:sz w:val="22"/>
        </w:rPr>
      </w:pPr>
      <w:r>
        <w:rPr>
          <w:rFonts w:cs="Arial" w:ascii="Arial" w:hAnsi="Arial"/>
          <w:sz w:val="22"/>
        </w:rPr>
      </w:r>
    </w:p>
    <w:p>
      <w:pPr>
        <w:pStyle w:val="Normal"/>
        <w:tabs>
          <w:tab w:val="clear" w:pos="708"/>
          <w:tab w:val="left" w:pos="720" w:leader="none"/>
        </w:tabs>
        <w:jc w:val="both"/>
        <w:rPr>
          <w:rFonts w:ascii="Arial" w:hAnsi="Arial" w:cs="Arial"/>
          <w:sz w:val="22"/>
        </w:rPr>
      </w:pPr>
      <w:r>
        <w:rPr>
          <w:rFonts w:cs="Arial" w:ascii="Arial" w:hAnsi="Arial"/>
          <w:sz w:val="22"/>
        </w:rPr>
        <w:t>I trust that this memorandum will be of assistance in evaluating and responding (if necessary) to IGL’s claim.  If I can be of any further assistance on this matter please do not hesitate to call on 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cc:</w:t>
        <w:tab/>
        <w:t>Jim Derrick</w:t>
      </w:r>
    </w:p>
    <w:p>
      <w:pPr>
        <w:pStyle w:val="Normal"/>
        <w:jc w:val="both"/>
        <w:rPr>
          <w:rFonts w:ascii="Arial" w:hAnsi="Arial" w:cs="Arial"/>
          <w:sz w:val="22"/>
        </w:rPr>
      </w:pPr>
      <w:r>
        <w:rPr>
          <w:rFonts w:cs="Arial" w:ascii="Arial" w:hAnsi="Arial"/>
          <w:sz w:val="22"/>
        </w:rPr>
        <w:tab/>
        <w:t>Rick Bergsieker</w:t>
      </w:r>
    </w:p>
    <w:p>
      <w:pPr>
        <w:pStyle w:val="Normal"/>
        <w:jc w:val="both"/>
        <w:rPr>
          <w:rFonts w:ascii="Arial" w:hAnsi="Arial" w:cs="Arial"/>
          <w:sz w:val="22"/>
        </w:rPr>
      </w:pPr>
      <w:r>
        <w:rPr>
          <w:rFonts w:cs="Arial" w:ascii="Arial" w:hAnsi="Arial"/>
          <w:sz w:val="22"/>
        </w:rPr>
        <w:tab/>
        <w:t>Mark Haedicke</w:t>
      </w:r>
    </w:p>
    <w:p>
      <w:pPr>
        <w:pStyle w:val="Normal"/>
        <w:jc w:val="both"/>
        <w:rPr>
          <w:rFonts w:ascii="Arial" w:hAnsi="Arial" w:cs="Arial"/>
          <w:sz w:val="22"/>
        </w:rPr>
      </w:pPr>
      <w:r>
        <w:rPr>
          <w:rFonts w:cs="Arial" w:ascii="Arial" w:hAnsi="Arial"/>
          <w:sz w:val="22"/>
        </w:rPr>
        <w:tab/>
        <w:t>Mark Evans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sect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10"/>
        </w:tabs>
        <w:ind w:start="1410" w:hanging="705"/>
      </w:pPr>
      <w:rPr/>
    </w:lvl>
    <w:lvl w:ilvl="1">
      <w:start w:val="1"/>
      <w:numFmt w:val="lowerLetter"/>
      <w:lvlText w:val="(%2)"/>
      <w:lvlJc w:val="start"/>
      <w:pPr>
        <w:tabs>
          <w:tab w:val="num" w:pos="1785"/>
        </w:tabs>
        <w:ind w:start="1785" w:hanging="360"/>
      </w:pPr>
      <w:rPr/>
    </w:lvl>
    <w:lvl w:ilvl="2">
      <w:start w:val="1"/>
      <w:numFmt w:val="lowerRoman"/>
      <w:lvlText w:val="%3."/>
      <w:lvlJc w:val="end"/>
      <w:pPr>
        <w:tabs>
          <w:tab w:val="num" w:pos="2505"/>
        </w:tabs>
        <w:ind w:start="2505" w:hanging="180"/>
      </w:pPr>
    </w:lvl>
    <w:lvl w:ilvl="3">
      <w:start w:val="1"/>
      <w:numFmt w:val="decimal"/>
      <w:lvlText w:val="%4."/>
      <w:lvlJc w:val="start"/>
      <w:pPr>
        <w:tabs>
          <w:tab w:val="num" w:pos="3225"/>
        </w:tabs>
        <w:ind w:start="3225" w:hanging="360"/>
      </w:pPr>
    </w:lvl>
    <w:lvl w:ilvl="4">
      <w:start w:val="1"/>
      <w:numFmt w:val="lowerLetter"/>
      <w:lvlText w:val="%5."/>
      <w:lvlJc w:val="start"/>
      <w:pPr>
        <w:tabs>
          <w:tab w:val="num" w:pos="3945"/>
        </w:tabs>
        <w:ind w:start="3945" w:hanging="360"/>
      </w:pPr>
    </w:lvl>
    <w:lvl w:ilvl="5">
      <w:start w:val="1"/>
      <w:numFmt w:val="lowerRoman"/>
      <w:lvlText w:val="%6."/>
      <w:lvlJc w:val="end"/>
      <w:pPr>
        <w:tabs>
          <w:tab w:val="num" w:pos="4665"/>
        </w:tabs>
        <w:ind w:start="4665" w:hanging="180"/>
      </w:pPr>
    </w:lvl>
    <w:lvl w:ilvl="6">
      <w:start w:val="1"/>
      <w:numFmt w:val="decimal"/>
      <w:lvlText w:val="%7."/>
      <w:lvlJc w:val="start"/>
      <w:pPr>
        <w:tabs>
          <w:tab w:val="num" w:pos="5385"/>
        </w:tabs>
        <w:ind w:start="5385" w:hanging="360"/>
      </w:pPr>
    </w:lvl>
    <w:lvl w:ilvl="7">
      <w:start w:val="1"/>
      <w:numFmt w:val="lowerLetter"/>
      <w:lvlText w:val="%8."/>
      <w:lvlJc w:val="start"/>
      <w:pPr>
        <w:tabs>
          <w:tab w:val="num" w:pos="6105"/>
        </w:tabs>
        <w:ind w:start="6105" w:hanging="360"/>
      </w:pPr>
    </w:lvl>
    <w:lvl w:ilvl="8">
      <w:start w:val="1"/>
      <w:numFmt w:val="lowerRoman"/>
      <w:lvlText w:val="%9."/>
      <w:lvlJc w:val="end"/>
      <w:pPr>
        <w:tabs>
          <w:tab w:val="num" w:pos="6825"/>
        </w:tabs>
        <w:ind w:start="6825" w:hanging="180"/>
      </w:pPr>
    </w:lvl>
  </w:abstractNum>
  <w:abstractNum w:abstractNumId="3">
    <w:lvl w:ilvl="0">
      <w:start w:val="1"/>
      <w:numFmt w:val="lowerLetter"/>
      <w:lvlText w:val="%1."/>
      <w:lvlJc w:val="start"/>
      <w:pPr>
        <w:tabs>
          <w:tab w:val="num" w:pos="1773"/>
        </w:tabs>
        <w:ind w:start="1773" w:hanging="360"/>
      </w:pPr>
      <w:rPr/>
    </w:lvl>
    <w:lvl w:ilvl="1">
      <w:start w:val="2"/>
      <w:numFmt w:val="lowerRoman"/>
      <w:lvlText w:val="(%2)"/>
      <w:lvlJc w:val="start"/>
      <w:pPr>
        <w:tabs>
          <w:tab w:val="num" w:pos="2853"/>
        </w:tabs>
        <w:ind w:start="2853" w:hanging="720"/>
      </w:pPr>
      <w:rPr/>
    </w:lvl>
    <w:lvl w:ilvl="2">
      <w:start w:val="6"/>
      <w:numFmt w:val="upperLetter"/>
      <w:lvlText w:val="%3."/>
      <w:lvlJc w:val="start"/>
      <w:pPr>
        <w:tabs>
          <w:tab w:val="num" w:pos="3393"/>
        </w:tabs>
        <w:ind w:start="3393" w:hanging="360"/>
      </w:pPr>
      <w:rPr/>
    </w:lvl>
    <w:lvl w:ilvl="3">
      <w:start w:val="1"/>
      <w:numFmt w:val="decimal"/>
      <w:lvlText w:val="%4."/>
      <w:lvlJc w:val="start"/>
      <w:pPr>
        <w:tabs>
          <w:tab w:val="num" w:pos="3933"/>
        </w:tabs>
        <w:ind w:start="3933" w:hanging="360"/>
      </w:pPr>
    </w:lvl>
    <w:lvl w:ilvl="4">
      <w:start w:val="1"/>
      <w:numFmt w:val="lowerLetter"/>
      <w:lvlText w:val="%5."/>
      <w:lvlJc w:val="start"/>
      <w:pPr>
        <w:tabs>
          <w:tab w:val="num" w:pos="4653"/>
        </w:tabs>
        <w:ind w:start="4653" w:hanging="360"/>
      </w:pPr>
    </w:lvl>
    <w:lvl w:ilvl="5">
      <w:start w:val="1"/>
      <w:numFmt w:val="lowerRoman"/>
      <w:lvlText w:val="%6."/>
      <w:lvlJc w:val="end"/>
      <w:pPr>
        <w:tabs>
          <w:tab w:val="num" w:pos="5373"/>
        </w:tabs>
        <w:ind w:start="5373" w:hanging="180"/>
      </w:pPr>
    </w:lvl>
    <w:lvl w:ilvl="6">
      <w:start w:val="1"/>
      <w:numFmt w:val="decimal"/>
      <w:lvlText w:val="%7."/>
      <w:lvlJc w:val="start"/>
      <w:pPr>
        <w:tabs>
          <w:tab w:val="num" w:pos="6093"/>
        </w:tabs>
        <w:ind w:start="6093" w:hanging="360"/>
      </w:pPr>
    </w:lvl>
    <w:lvl w:ilvl="7">
      <w:start w:val="1"/>
      <w:numFmt w:val="lowerLetter"/>
      <w:lvlText w:val="%8."/>
      <w:lvlJc w:val="start"/>
      <w:pPr>
        <w:tabs>
          <w:tab w:val="num" w:pos="6813"/>
        </w:tabs>
        <w:ind w:start="6813" w:hanging="360"/>
      </w:pPr>
    </w:lvl>
    <w:lvl w:ilvl="8">
      <w:start w:val="1"/>
      <w:numFmt w:val="lowerRoman"/>
      <w:lvlText w:val="%9."/>
      <w:lvlJc w:val="end"/>
      <w:pPr>
        <w:tabs>
          <w:tab w:val="num" w:pos="7533"/>
        </w:tabs>
        <w:ind w:start="7533" w:hanging="180"/>
      </w:pPr>
    </w:lvl>
  </w:abstractNum>
  <w:abstractNum w:abstractNumId="4">
    <w:lvl w:ilvl="0">
      <w:start w:val="6"/>
      <w:numFmt w:val="lowerLetter"/>
      <w:lvlText w:val="%1."/>
      <w:lvlJc w:val="start"/>
      <w:pPr>
        <w:tabs>
          <w:tab w:val="num" w:pos="1803"/>
        </w:tabs>
        <w:ind w:start="1803" w:hanging="360"/>
      </w:pPr>
      <w:rPr/>
    </w:lvl>
    <w:lvl w:ilvl="1">
      <w:start w:val="1"/>
      <w:numFmt w:val="lowerRoman"/>
      <w:lvlText w:val="(%2)"/>
      <w:lvlJc w:val="start"/>
      <w:pPr>
        <w:tabs>
          <w:tab w:val="num" w:pos="2883"/>
        </w:tabs>
        <w:ind w:start="2883" w:hanging="720"/>
      </w:pPr>
      <w:rPr/>
    </w:lvl>
    <w:lvl w:ilvl="2">
      <w:start w:val="4"/>
      <w:numFmt w:val="upperLetter"/>
      <w:lvlText w:val="%3."/>
      <w:lvlJc w:val="start"/>
      <w:pPr>
        <w:tabs>
          <w:tab w:val="num" w:pos="3783"/>
        </w:tabs>
        <w:ind w:start="3783" w:hanging="720"/>
      </w:pPr>
      <w:rPr>
        <w:rFonts w:cs="Arial"/>
      </w:rPr>
    </w:lvl>
    <w:lvl w:ilvl="3">
      <w:start w:val="1"/>
      <w:numFmt w:val="decimal"/>
      <w:lvlText w:val="%4."/>
      <w:lvlJc w:val="start"/>
      <w:pPr>
        <w:tabs>
          <w:tab w:val="num" w:pos="3963"/>
        </w:tabs>
        <w:ind w:start="3963" w:hanging="360"/>
      </w:pPr>
      <w:rPr/>
    </w:lvl>
    <w:lvl w:ilvl="4">
      <w:start w:val="1"/>
      <w:numFmt w:val="lowerLetter"/>
      <w:lvlText w:val="%5."/>
      <w:lvlJc w:val="start"/>
      <w:pPr>
        <w:tabs>
          <w:tab w:val="num" w:pos="4683"/>
        </w:tabs>
        <w:ind w:start="4683" w:hanging="360"/>
      </w:pPr>
    </w:lvl>
    <w:lvl w:ilvl="5">
      <w:start w:val="1"/>
      <w:numFmt w:val="lowerRoman"/>
      <w:lvlText w:val="%6."/>
      <w:lvlJc w:val="end"/>
      <w:pPr>
        <w:tabs>
          <w:tab w:val="num" w:pos="5403"/>
        </w:tabs>
        <w:ind w:start="5403" w:hanging="180"/>
      </w:pPr>
    </w:lvl>
    <w:lvl w:ilvl="6">
      <w:start w:val="1"/>
      <w:numFmt w:val="decimal"/>
      <w:lvlText w:val="%7."/>
      <w:lvlJc w:val="start"/>
      <w:pPr>
        <w:tabs>
          <w:tab w:val="num" w:pos="6123"/>
        </w:tabs>
        <w:ind w:start="6123" w:hanging="360"/>
      </w:pPr>
    </w:lvl>
    <w:lvl w:ilvl="7">
      <w:start w:val="1"/>
      <w:numFmt w:val="lowerLetter"/>
      <w:lvlText w:val="%8."/>
      <w:lvlJc w:val="start"/>
      <w:pPr>
        <w:tabs>
          <w:tab w:val="num" w:pos="6843"/>
        </w:tabs>
        <w:ind w:start="6843" w:hanging="360"/>
      </w:pPr>
    </w:lvl>
    <w:lvl w:ilvl="8">
      <w:start w:val="1"/>
      <w:numFmt w:val="lowerRoman"/>
      <w:lvlText w:val="%9."/>
      <w:lvlJc w:val="end"/>
      <w:pPr>
        <w:tabs>
          <w:tab w:val="num" w:pos="7563"/>
        </w:tabs>
        <w:ind w:start="7563" w:hanging="180"/>
      </w:pPr>
    </w:lvl>
  </w:abstractNum>
  <w:abstractNum w:abstractNumId="5">
    <w:lvl w:ilvl="0">
      <w:start w:val="1"/>
      <w:numFmt w:val="decimal"/>
      <w:lvlText w:val="%1."/>
      <w:lvlJc w:val="start"/>
      <w:pPr>
        <w:tabs>
          <w:tab w:val="num" w:pos="1080"/>
        </w:tabs>
        <w:ind w:start="1080" w:hanging="360"/>
      </w:pPr>
      <w:rPr/>
    </w:lvl>
  </w:abstractNum>
  <w:abstractNum w:abstractNumId="6">
    <w:lvl w:ilvl="0">
      <w:start w:val="3"/>
      <w:numFmt w:val="lowerLetter"/>
      <w:lvlText w:val="%1."/>
      <w:lvlJc w:val="start"/>
      <w:pPr>
        <w:tabs>
          <w:tab w:val="num" w:pos="1803"/>
        </w:tabs>
        <w:ind w:start="1803" w:hanging="360"/>
      </w:pPr>
      <w:rPr/>
    </w:lvl>
  </w:abstractNum>
  <w:abstractNum w:abstractNumId="7">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2"/>
    </w:rPr>
  </w:style>
  <w:style w:type="paragraph" w:styleId="Heading2">
    <w:name w:val="heading 2"/>
    <w:basedOn w:val="Normal"/>
    <w:next w:val="Normal"/>
    <w:qFormat/>
    <w:pPr>
      <w:keepNext w:val="true"/>
      <w:numPr>
        <w:ilvl w:val="1"/>
        <w:numId w:val="1"/>
      </w:numPr>
      <w:tabs>
        <w:tab w:val="clear" w:pos="708"/>
        <w:tab w:val="left" w:pos="1701" w:leader="none"/>
        <w:tab w:val="left" w:pos="5103" w:leader="none"/>
      </w:tabs>
      <w:jc w:val="both"/>
      <w:outlineLvl w:val="1"/>
    </w:pPr>
    <w:rPr>
      <w:sz w:val="22"/>
      <w:lang w:val="en-GB"/>
    </w:rPr>
  </w:style>
  <w:style w:type="paragraph" w:styleId="Heading3">
    <w:name w:val="heading 3"/>
    <w:basedOn w:val="Normal"/>
    <w:next w:val="Normal"/>
    <w:qFormat/>
    <w:pPr>
      <w:keepNext w:val="true"/>
      <w:numPr>
        <w:ilvl w:val="0"/>
        <w:numId w:val="7"/>
      </w:numPr>
      <w:ind w:hanging="720" w:start="0" w:end="0"/>
      <w:jc w:val="both"/>
      <w:outlineLvl w:val="2"/>
    </w:pPr>
    <w:rPr>
      <w:rFonts w:ascii="Arial" w:hAnsi="Arial" w:cs="Arial"/>
      <w:b/>
      <w:bCs/>
      <w:sz w:val="24"/>
    </w:rPr>
  </w:style>
  <w:style w:type="paragraph" w:styleId="Heading4">
    <w:name w:val="heading 4"/>
    <w:basedOn w:val="Normal"/>
    <w:next w:val="Normal"/>
    <w:qFormat/>
    <w:pPr>
      <w:keepNext w:val="true"/>
      <w:numPr>
        <w:ilvl w:val="3"/>
        <w:numId w:val="1"/>
      </w:numPr>
      <w:jc w:val="both"/>
      <w:outlineLvl w:val="3"/>
    </w:pPr>
    <w:rPr>
      <w:rFonts w:ascii="Arial" w:hAnsi="Arial" w:cs="Arial"/>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4z2">
    <w:name w:val="WW8Num14z2"/>
    <w:qFormat/>
    <w:rPr>
      <w:rFonts w:cs="Aria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odyTextIndent">
    <w:name w:val="Body Text Indent"/>
    <w:basedOn w:val="Normal"/>
    <w:pPr>
      <w:ind w:hanging="567" w:start="567" w:end="0"/>
      <w:jc w:val="both"/>
    </w:pPr>
    <w:rPr>
      <w:rFonts w:ascii="Arial" w:hAnsi="Arial" w:cs="Arial"/>
      <w:sz w:val="22"/>
    </w:rPr>
  </w:style>
  <w:style w:type="paragraph" w:styleId="BodyTextIndent2">
    <w:name w:val="Body Text Indent 2"/>
    <w:basedOn w:val="Normal"/>
    <w:qFormat/>
    <w:pPr>
      <w:ind w:hanging="284" w:start="284" w:end="0"/>
      <w:jc w:val="both"/>
    </w:pPr>
    <w:rPr>
      <w:rFonts w:ascii="Arial" w:hAnsi="Arial" w:cs="Arial"/>
      <w:sz w:val="22"/>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tabs>
        <w:tab w:val="clear" w:pos="708"/>
        <w:tab w:val="left" w:pos="4536" w:leader="none"/>
      </w:tabs>
      <w:jc w:val="center"/>
    </w:pPr>
    <w:rPr>
      <w:sz w:val="22"/>
      <w:lang w:val="en-GB"/>
    </w:rPr>
  </w:style>
  <w:style w:type="paragraph" w:styleId="BodyTextIndent3">
    <w:name w:val="Body Text Indent 3"/>
    <w:basedOn w:val="Normal"/>
    <w:qFormat/>
    <w:pPr>
      <w:ind w:hanging="708" w:start="708" w:end="0"/>
      <w:jc w:val="both"/>
    </w:pPr>
    <w:rPr>
      <w:rFonts w:ascii="Arial" w:hAnsi="Arial" w:cs="Arial"/>
      <w:sz w:val="22"/>
    </w:rPr>
  </w:style>
  <w:style w:type="paragraph" w:styleId="ssPara1">
    <w:name w:val="ssPara1"/>
    <w:basedOn w:val="Normal"/>
    <w:qFormat/>
    <w:pPr>
      <w:spacing w:before="0" w:after="220"/>
      <w:jc w:val="both"/>
    </w:pPr>
    <w:rPr>
      <w:rFonts w:ascii="Arial" w:hAnsi="Arial" w:cs="Arial"/>
      <w:sz w:val="22"/>
      <w:lang w:val="en-GB"/>
    </w:rPr>
  </w:style>
  <w:style w:type="paragraph" w:styleId="BodyText3">
    <w:name w:val="Body Text 3"/>
    <w:basedOn w:val="Normal"/>
    <w:qFormat/>
    <w:pPr/>
    <w:rPr>
      <w:rFonts w:ascii="Arial" w:hAnsi="Arial" w:cs="Arial"/>
      <w:b/>
      <w:bCs/>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2001-04-11T00:33:00Z</dcterms:created>
  <dc:creator>DOUGLAS_S</dc:creator>
  <dc:description/>
  <dc:language>en-CA</dc:language>
  <cp:lastModifiedBy>Dan Rogers</cp:lastModifiedBy>
  <cp:lastPrinted>2001-04-13T12:59:00Z</cp:lastPrinted>
  <dcterms:modified xsi:type="dcterms:W3CDTF">2001-04-13T15:29:00Z</dcterms:modified>
  <cp:revision>7</cp:revision>
  <dc:subject/>
  <dc:title>TERM SHEET</dc:title>
</cp:coreProperties>
</file>