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rPr>
        <w:t>DOCUMENT REPOSITORY PROTOCOL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w:t>
        <w:tab/>
        <w:t>Each Respondent shall establish, at its sole expense, a repository for its document production.  Such repository shall be in close proximity to the Capitol in Sacramento.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2. </w:t>
        <w:tab/>
        <w:t xml:space="preserve">Control of the repository shall be in the control of the Respondent.  Access shall be in accordance with this protocol and any Confidentiality Agreement executed between Respondent and the Select and Rules Committees.  Each person entering the repository shall sign a log to be kept at the repository.  Said log shall record the name, affiliation, date and time of entry and exit, and the business address of each person signing the log.  Such log shall contain an acknowledgement that each person signing the log shall have read and understood the Confidentiality agreement controlling access to the documents contained in the repository.  Access shall be denied any person, whether or not authorized, who refuses to sign a log.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3.  </w:t>
        <w:tab/>
        <w:t>No document may be copied, reproduced or removed from the repository except in response to a request made by a person authorized access hereunder.  Respondent must deliver to such authorized person such document, within two (2) business days after the request is made.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4. </w:t>
        <w:tab/>
        <w:t>Before delivering the document, Respondent shall have the right to designate the document as Confidential.  If such designation is made, Respondent must specify the basis upon which the document is being so designated, and must so mark each page of such document.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5. </w:t>
        <w:tab/>
        <w:t xml:space="preserve">In addition to the procedure set forth in paragraphs 3 and 4 above, the Select Committee shall have at its disposal a copy machine capable of delivering 20 pages per minute.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6. </w:t>
        <w:tab/>
        <w:t>No person will be allowed access unless such person has been approved for such access, and his or her name appears on a list of approved persons.  Such list will be maintained at the repository.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  The list of approved persons shall contain the names of those persons designated by the Select Committee.  Any name added to the approved list shall be furnished to Respondent 24 hours before access is requested by such person.  No person may be placed on the approved list unless that person meets both the letter and spirit of the persons described in Paragraph 2 of the Confidentiality Agreement.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 xml:space="preserve">b.  In the event of a joint repository containing documents from multiple Respondents, Respondents shall have access only to documents or materials produced by them pursuant to a request or subpoena by the Select Committee, and shall not have access to any document in the repository which may have originated with Respondent, but which was produced to the Select Committee by an entity other than Respondent.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7.  </w:t>
        <w:tab/>
        <w:t xml:space="preserve">All documents and materials deposited in the repository shall be Bates stamped and indexed.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8.  </w:t>
        <w:tab/>
        <w:t xml:space="preserve">Respondent shall equip the repository with such furniture and equipment reasonably necessary for the Select Committee to do its document review and selection.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9.  </w:t>
        <w:tab/>
        <w:t xml:space="preserve">The Select Committee shall give Respondent at least one business day’s advance notice of its desire for access to the repository, which shall then be made reasonably available during Respondent’s normal business hours.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10.  </w:t>
        <w:tab/>
        <w:t>Documents delivered pursuant hereto shall be delivered to the Select Committee by Respondent in a form designated by the Select Committee.  Such request may be for delivery either in paper form, or in an electronic format acceptable to the Select Committee.  It is anticipated that the Select Committee may request some documents as scanned images in either PDF or TIFF format.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11.  </w:t>
        <w:tab/>
        <w:t>When the Select Committee is disbanded, dissolves, or otherwise ceases its fact-finding, all information or documents provided to the Select Committee or to others pursuant to this Agreement and not otherwise and properly made public in the meantime shall be returned to ________________________ immediately upon request.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12.  </w:t>
        <w:tab/>
        <w:t>If the Select Committee retains or hires any consultant or expert who is, or within one year has been, an employee, consultant or expert for any direct competitor of ______________________, the Select Committee shall notify ______________________ and refrain from releasing any confidential information to the consultant or expert for a period of 10 days, and if during that ten (10) day period ________________________ initiates legal action to disqualify that expert for conflict of interest or some other disability, then the Select Committee shall refrain from sharing its information during the pendency of such contest.  Any expert or consultant hired or retained by the Select Committee shall sign an agreement with the following three requirements:</w:t>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tab/>
        <w:t>a.  He or she will not disclose any confidential information covered by this agreement except as allowed by this agreement or as ordered by a court of competent jurisdiction;</w:t>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tab/>
        <w:t>b.  He or she shall refrain, for a period of two years following the termination of his or her access to the information or documents described in paragraph 1, from advising or consulting on commercial matters a person or entity competing or planning to compete, in whole or in part, with any __________________________ entity, and,</w:t>
      </w:r>
      <w:r>
        <w:br w:type="page"/>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tab/>
        <w:t>c. Following the termination of such expert or consultant’s work for the Select Committee, he or she shall return to the Select Committee or to the appropriate ____________________ entity any and all information or documents he or she may have used or incorporated and shall retain none of such information or documents, whether or not incorporated into any work product and whether or not retained for archival purposes.</w:t>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t>It is so agreed.</w:t>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t>______________________________</w:t>
        <w:tab/>
        <w:tab/>
        <w:t>Dated:_______________________</w:t>
      </w:r>
    </w:p>
    <w:p>
      <w:pPr>
        <w:pStyle w:val="Normal"/>
        <w:tabs>
          <w:tab w:val="clear" w:pos="720"/>
          <w:tab w:val="left" w:pos="1140" w:leader="none"/>
        </w:tabs>
        <w:rPr>
          <w:rFonts w:ascii="Times New Roman" w:hAnsi="Times New Roman" w:cs="Times New Roman"/>
        </w:rPr>
      </w:pPr>
      <w:r>
        <w:rPr>
          <w:rFonts w:cs="Times New Roman" w:ascii="Times New Roman" w:hAnsi="Times New Roman"/>
        </w:rPr>
        <w:t>Senator Joseph L. Dunn</w:t>
      </w:r>
    </w:p>
    <w:p>
      <w:pPr>
        <w:pStyle w:val="Normal"/>
        <w:tabs>
          <w:tab w:val="clear" w:pos="720"/>
          <w:tab w:val="left" w:pos="1140" w:leader="none"/>
        </w:tabs>
        <w:rPr>
          <w:rFonts w:ascii="Times New Roman" w:hAnsi="Times New Roman" w:cs="Times New Roman"/>
        </w:rPr>
      </w:pPr>
      <w:r>
        <w:rPr>
          <w:rFonts w:cs="Times New Roman" w:ascii="Times New Roman" w:hAnsi="Times New Roman"/>
        </w:rPr>
        <w:t>Select Committee Chair</w:t>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t>_______________________________</w:t>
        <w:tab/>
        <w:tab/>
        <w:t>Dated:________________________</w:t>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p>
      <w:pPr>
        <w:pStyle w:val="Normal"/>
        <w:tabs>
          <w:tab w:val="clear" w:pos="720"/>
          <w:tab w:val="left" w:pos="1140" w:leader="none"/>
        </w:tabs>
        <w:rPr>
          <w:rFonts w:ascii="Times New Roman" w:hAnsi="Times New Roman" w:cs="Times New Roman"/>
        </w:rPr>
      </w:pPr>
      <w:r>
        <w:rPr>
          <w:rFonts w:cs="Times New Roman" w:ascii="Times New Roman" w:hAnsi="Times New Roman"/>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2001-07-17T19:18:00Z</dcterms:created>
  <dc:creator>Laurence Drivon</dc:creator>
  <dc:description/>
  <dc:language>en-CA</dc:language>
  <cp:lastModifiedBy>Alexandra Montgomery</cp:lastModifiedBy>
  <cp:lastPrinted>2001-07-17T14:56:00Z</cp:lastPrinted>
  <dcterms:modified xsi:type="dcterms:W3CDTF">2001-07-17T19:27:00Z</dcterms:modified>
  <cp:revision>3</cp:revision>
  <dc:subject/>
  <dc:title>DOCUMENT REPOSITORY PROTOCOL</dc:title>
</cp:coreProperties>
</file>