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DOCKET NO. 23220</w:t>
      </w:r>
    </w:p>
    <w:p>
      <w:pPr>
        <w:pStyle w:val="Normal"/>
        <w:jc w:val="center"/>
        <w:rPr>
          <w:b/>
          <w:bCs/>
        </w:rPr>
      </w:pPr>
      <w:r>
        <w:rPr>
          <w:b/>
          <w:bCs/>
        </w:rPr>
      </w:r>
    </w:p>
    <w:p>
      <w:pPr>
        <w:pStyle w:val="Normal"/>
        <w:rPr/>
      </w:pPr>
      <w:r>
        <w:rPr>
          <w:b/>
          <w:bCs/>
        </w:rPr>
        <w:t>PETITION OF THE ELECTRIC</w:t>
        <w:tab/>
        <w:tab/>
      </w:r>
      <w:r>
        <w:rPr>
          <w:rFonts w:cs="Lucida Console" w:ascii="Lucida Console" w:hAnsi="Lucida Console"/>
          <w:b/>
          <w:bCs/>
        </w:rPr>
        <w:t>§</w:t>
      </w:r>
      <w:r>
        <w:rPr>
          <w:b/>
          <w:bCs/>
        </w:rPr>
        <w:tab/>
        <w:tab/>
        <w:t>PUBLIC UTILITY</w:t>
      </w:r>
    </w:p>
    <w:p>
      <w:pPr>
        <w:pStyle w:val="Normal"/>
        <w:rPr/>
      </w:pPr>
      <w:r>
        <w:rPr>
          <w:b/>
          <w:bCs/>
        </w:rPr>
        <w:t xml:space="preserve">RELIABILITY COUNCIL OF </w:t>
        <w:tab/>
        <w:tab/>
      </w:r>
      <w:r>
        <w:rPr>
          <w:rFonts w:cs="Lucida Console" w:ascii="Lucida Console" w:hAnsi="Lucida Console"/>
          <w:b/>
          <w:bCs/>
        </w:rPr>
        <w:t>§</w:t>
      </w:r>
      <w:r>
        <w:rPr>
          <w:b/>
          <w:bCs/>
        </w:rPr>
        <w:tab/>
        <w:tab/>
        <w:t xml:space="preserve">  COMMISSION</w:t>
      </w:r>
    </w:p>
    <w:p>
      <w:pPr>
        <w:pStyle w:val="Normal"/>
        <w:rPr/>
      </w:pPr>
      <w:r>
        <w:rPr>
          <w:b/>
          <w:bCs/>
        </w:rPr>
        <w:t xml:space="preserve">TEXAS FOR APPROVAL OF </w:t>
        <w:tab/>
        <w:tab/>
      </w:r>
      <w:r>
        <w:rPr>
          <w:rFonts w:cs="Lucida Console" w:ascii="Lucida Console" w:hAnsi="Lucida Console"/>
          <w:b/>
          <w:bCs/>
        </w:rPr>
        <w:t>§</w:t>
      </w:r>
      <w:r>
        <w:rPr>
          <w:b/>
          <w:bCs/>
        </w:rPr>
        <w:tab/>
        <w:tab/>
        <w:t xml:space="preserve">            OF</w:t>
      </w:r>
    </w:p>
    <w:p>
      <w:pPr>
        <w:pStyle w:val="Normal"/>
        <w:rPr/>
      </w:pPr>
      <w:r>
        <w:rPr>
          <w:b/>
          <w:bCs/>
        </w:rPr>
        <w:t>THE ERCOT PROTOCOLS</w:t>
        <w:tab/>
        <w:tab/>
      </w:r>
      <w:r>
        <w:rPr>
          <w:rFonts w:cs="Lucida Console" w:ascii="Lucida Console" w:hAnsi="Lucida Console"/>
          <w:b/>
          <w:bCs/>
        </w:rPr>
        <w:t>§</w:t>
      </w:r>
      <w:r>
        <w:rPr>
          <w:b/>
          <w:bCs/>
        </w:rPr>
        <w:tab/>
        <w:tab/>
        <w:t xml:space="preserve">        TEXAS</w:t>
      </w:r>
    </w:p>
    <w:p>
      <w:pPr>
        <w:pStyle w:val="Normal"/>
        <w:rPr>
          <w:b/>
          <w:bCs/>
        </w:rPr>
      </w:pPr>
      <w:r>
        <w:rPr>
          <w:b/>
          <w:bCs/>
        </w:rPr>
      </w:r>
    </w:p>
    <w:p>
      <w:pPr>
        <w:pStyle w:val="BodyText"/>
        <w:rPr/>
      </w:pPr>
      <w:r>
        <w:rPr/>
        <w:t>LIST OF ISSUES REGARDING THE ERCOT PROTOCOLS SUBMITTED BY ENRON POWER MARKETING, INC.</w:t>
      </w:r>
    </w:p>
    <w:p>
      <w:pPr>
        <w:pStyle w:val="Normal"/>
        <w:tabs>
          <w:tab w:val="clear" w:pos="720"/>
          <w:tab w:val="left" w:pos="3240" w:leader="none"/>
        </w:tabs>
        <w:jc w:val="center"/>
        <w:rPr>
          <w:b/>
          <w:bCs/>
        </w:rPr>
      </w:pPr>
      <w:r>
        <w:rPr>
          <w:b/>
          <w:bCs/>
        </w:rPr>
      </w:r>
    </w:p>
    <w:p>
      <w:pPr>
        <w:pStyle w:val="Heading1"/>
        <w:ind w:hanging="0" w:start="0"/>
        <w:rPr>
          <w:b w:val="false"/>
          <w:bCs w:val="false"/>
        </w:rPr>
      </w:pPr>
      <w:r>
        <w:rPr>
          <w:b w:val="false"/>
          <w:bCs w:val="false"/>
        </w:rPr>
        <w:t>Enron Power Marketing, Inc. (Enron) respectfully submits the following issues for consideration by the Commission in this proceeding.</w:t>
      </w:r>
    </w:p>
    <w:p>
      <w:pPr>
        <w:pStyle w:val="Normal"/>
        <w:rPr>
          <w:b/>
          <w:bCs/>
        </w:rPr>
      </w:pPr>
      <w:r>
        <w:rPr>
          <w:b/>
          <w:bCs/>
        </w:rPr>
      </w:r>
    </w:p>
    <w:p>
      <w:pPr>
        <w:pStyle w:val="Normal"/>
        <w:numPr>
          <w:ilvl w:val="0"/>
          <w:numId w:val="2"/>
        </w:numPr>
        <w:rPr/>
      </w:pPr>
      <w:r>
        <w:rPr/>
        <w:t xml:space="preserve">In Scheduling, section 4, the protocols indicate a requirement for all QSEs to submit mandatory decremental Balancing Energy Service.  This requirement will be impossible to meet if the QSE is submitting schedules with non-controllable renewable resources.  We request the protocol indicate an exception for non-controllable renewable resources for the purpose of submitting mandatory decremental Balancing Energy Service. </w:t>
      </w:r>
    </w:p>
    <w:p>
      <w:pPr>
        <w:pStyle w:val="Normal"/>
        <w:numPr>
          <w:ilvl w:val="0"/>
          <w:numId w:val="2"/>
        </w:numPr>
        <w:rPr/>
      </w:pPr>
      <w:r>
        <w:rPr/>
        <w:t>In ERCOT’s attempt to manage transmission congestion, ERCOT will post on the MIS the potential congestion megawatt quantity impact on a CSC and hope QSEs will adjust schedules to mitigate the potential congestion.  What price signal will a QSE have associated with the cost of balancing energy on each side of the CSC to compare the costs of the QSE’s realignment verses the costs of being exposed to the market.</w:t>
      </w:r>
    </w:p>
    <w:p>
      <w:pPr>
        <w:pStyle w:val="Normal"/>
        <w:numPr>
          <w:ilvl w:val="0"/>
          <w:numId w:val="2"/>
        </w:numPr>
        <w:rPr/>
      </w:pPr>
      <w:r>
        <w:rPr/>
        <w:t xml:space="preserve">When ERCOT notifies effected QSEs of congestion will all QSEs be noticed or just certain QSEs? </w:t>
      </w:r>
    </w:p>
    <w:p>
      <w:pPr>
        <w:pStyle w:val="Normal"/>
        <w:numPr>
          <w:ilvl w:val="0"/>
          <w:numId w:val="2"/>
        </w:numPr>
        <w:rPr/>
      </w:pPr>
      <w:r>
        <w:rPr/>
        <w:t>Enron has concerns with the ability of the market structure outlined in the protocols to establish a spot market.  If ERCOT is going to get market liquidity, it is essential market participants gain confidence in a spot market. One important element will be how promptly the ancillary service bid stacks will be posted to the market.  It is essential the real cost of energy, or the MCPE, is not hidden in the costs for ancillary services acquired day-ahead.  We recommend the bid stacks for the ancillary services are posted as close to real-time as possible.</w:t>
      </w:r>
    </w:p>
    <w:p>
      <w:pPr>
        <w:pStyle w:val="Normal"/>
        <w:rPr/>
      </w:pPr>
      <w:r>
        <w:rPr/>
      </w:r>
    </w:p>
    <w:p>
      <w:pPr>
        <w:pStyle w:val="Normal"/>
        <w:rPr/>
      </w:pPr>
      <w:r>
        <w:rPr/>
        <w:t>Enron appreciates the opportunity to submit these issues for the purpose of having these issues addressed by the parties in this case through briefs.</w:t>
      </w:r>
    </w:p>
    <w:p>
      <w:pPr>
        <w:pStyle w:val="Normal"/>
        <w:rPr/>
      </w:pPr>
      <w:r>
        <w:rPr/>
      </w:r>
    </w:p>
    <w:p>
      <w:pPr>
        <w:pStyle w:val="Normal"/>
        <w:rPr/>
      </w:pPr>
      <w:r>
        <w:rPr/>
      </w:r>
    </w:p>
    <w:p>
      <w:pPr>
        <w:pStyle w:val="Normal"/>
        <w:rPr/>
      </w:pPr>
      <w:r>
        <w:rPr/>
        <w:tab/>
        <w:tab/>
        <w:tab/>
        <w:tab/>
      </w:r>
    </w:p>
    <w:p>
      <w:pPr>
        <w:pStyle w:val="Normal"/>
        <w:ind w:start="5040" w:end="0"/>
        <w:rPr/>
      </w:pPr>
      <w:r>
        <w:rPr/>
      </w:r>
    </w:p>
    <w:p>
      <w:pPr>
        <w:pStyle w:val="Normal"/>
        <w:ind w:start="5040" w:end="0"/>
        <w:rPr/>
      </w:pPr>
      <w:r>
        <w:rPr/>
        <w:tab/>
        <w:tab/>
        <w:tab/>
        <w:tab/>
      </w:r>
    </w:p>
    <w:p>
      <w:pPr>
        <w:pStyle w:val="Normal"/>
        <w:tabs>
          <w:tab w:val="clear" w:pos="720"/>
          <w:tab w:val="left" w:pos="3240" w:leader="none"/>
        </w:tabs>
        <w:jc w:val="center"/>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240" w:leader="none"/>
      </w:tabs>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tabs>
        <w:tab w:val="clear" w:pos="720"/>
        <w:tab w:val="left" w:pos="3240" w:leader="none"/>
      </w:tabs>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2001-01-11T19:14:00Z</dcterms:created>
  <dc:creator>rkittel</dc:creator>
  <dc:description/>
  <dc:language>en-CA</dc:language>
  <cp:lastModifiedBy>rkittel</cp:lastModifiedBy>
  <cp:lastPrinted>2001-01-11T16:45:00Z</cp:lastPrinted>
  <dcterms:modified xsi:type="dcterms:W3CDTF">2001-01-11T20:16:00Z</dcterms:modified>
  <cp:revision>1</cp:revision>
  <dc:subject/>
  <dc:title>DOCKET NO</dc:title>
</cp:coreProperties>
</file>