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r>
    </w:p>
    <w:p>
      <w:pPr>
        <w:pStyle w:val="Heading4"/>
        <w:ind w:hanging="0" w:start="0"/>
        <w:rPr>
          <w:sz w:val="22"/>
        </w:rPr>
      </w:pPr>
      <w:r>
        <w:rPr/>
        <w:t xml:space="preserve">Cost Reporting Guidelines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The following guidelines have been developed by the ISO to facilitate the submittal and review of cost data and supporting documentation being requested by the ISO under its Market Monitoring and Information Protocol (MMIP 4.5.1).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Cost data on each hourly transaction over the $250 and $150 thresholds in effect during December 200 and January 2001, respectively, should be submitted in a single file with one record for each hourly transaction.  The seller should provide a single row for each hourly transaction and furnish column headings for the data in the first row of the file.  Column headings and data contained therein should correspond to the attached table.  Column headings should be provided for data that are missing or not applicable.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Electronic data files may be in comma-delimited format or in an Excel spreadsheet.  Data files and any other supporting documentation in electronic format may be provided on either 3.5” diskettes or CD rom to:</w:t>
      </w:r>
    </w:p>
    <w:p>
      <w:pPr>
        <w:pStyle w:val="Normal"/>
        <w:rPr>
          <w:rFonts w:ascii="Arial" w:hAnsi="Arial" w:cs="Arial"/>
          <w:sz w:val="22"/>
        </w:rPr>
      </w:pPr>
      <w:r>
        <w:rPr>
          <w:rFonts w:cs="Arial" w:ascii="Arial" w:hAnsi="Arial"/>
          <w:sz w:val="22"/>
        </w:rPr>
      </w:r>
    </w:p>
    <w:p>
      <w:pPr>
        <w:pStyle w:val="Heading5"/>
        <w:rPr>
          <w:rFonts w:ascii="Arial" w:hAnsi="Arial" w:cs="Arial"/>
          <w:b w:val="false"/>
          <w:sz w:val="22"/>
        </w:rPr>
      </w:pPr>
      <w:r>
        <w:rPr>
          <w:rFonts w:cs="Arial" w:ascii="Arial" w:hAnsi="Arial"/>
          <w:b w:val="false"/>
          <w:sz w:val="22"/>
        </w:rPr>
        <w:t>Attention: Greg Cook, Department of Market Analysis (916-608-7202)</w:t>
      </w:r>
    </w:p>
    <w:p>
      <w:pPr>
        <w:pStyle w:val="Normal"/>
        <w:rPr>
          <w:rFonts w:ascii="Arial" w:hAnsi="Arial" w:cs="Arial"/>
          <w:sz w:val="22"/>
        </w:rPr>
      </w:pPr>
      <w:r>
        <w:rPr>
          <w:rFonts w:cs="Arial" w:ascii="Arial" w:hAnsi="Arial"/>
          <w:sz w:val="22"/>
        </w:rPr>
        <w:tab/>
        <w:t>California Independent system Operator</w:t>
      </w:r>
    </w:p>
    <w:p>
      <w:pPr>
        <w:pStyle w:val="Normal"/>
        <w:ind w:firstLine="720" w:end="0"/>
        <w:rPr>
          <w:rFonts w:ascii="Arial" w:hAnsi="Arial" w:cs="Arial"/>
          <w:sz w:val="22"/>
        </w:rPr>
      </w:pPr>
      <w:r>
        <w:rPr>
          <w:rFonts w:cs="Arial" w:ascii="Arial" w:hAnsi="Arial"/>
          <w:sz w:val="22"/>
        </w:rPr>
        <w:t>151 Blue Ravine Road</w:t>
      </w:r>
    </w:p>
    <w:p>
      <w:pPr>
        <w:pStyle w:val="Normal"/>
        <w:ind w:firstLine="720" w:end="0"/>
        <w:rPr>
          <w:rFonts w:ascii="Arial" w:hAnsi="Arial" w:cs="Arial"/>
          <w:sz w:val="22"/>
        </w:rPr>
      </w:pPr>
      <w:r>
        <w:rPr>
          <w:rFonts w:cs="Arial" w:ascii="Arial" w:hAnsi="Arial"/>
          <w:sz w:val="22"/>
        </w:rPr>
        <w:t>Folsom, CA 95630</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Additional guidelines are provided below and in the attached table.</w:t>
      </w:r>
    </w:p>
    <w:p>
      <w:pPr>
        <w:pStyle w:val="Heading4"/>
        <w:ind w:hanging="0" w:start="0"/>
        <w:jc w:val="start"/>
        <w:rPr>
          <w:rFonts w:ascii="Arial" w:hAnsi="Arial" w:cs="Arial"/>
          <w:sz w:val="22"/>
        </w:rPr>
      </w:pPr>
      <w:r>
        <w:rPr>
          <w:rFonts w:cs="Arial"/>
          <w:sz w:val="22"/>
        </w:rPr>
      </w:r>
      <w:r>
        <w:br w:type="page"/>
      </w:r>
    </w:p>
    <w:p>
      <w:pPr>
        <w:pStyle w:val="Heading4"/>
        <w:ind w:hanging="0" w:start="0"/>
        <w:rPr/>
      </w:pPr>
      <w:r>
        <w:rPr/>
        <w:t>Hourly Transaction File Format</w:t>
      </w:r>
    </w:p>
    <w:p>
      <w:pPr>
        <w:pStyle w:val="Normal"/>
        <w:rPr/>
      </w:pPr>
      <w:r>
        <w:rPr/>
      </w:r>
    </w:p>
    <w:tbl>
      <w:tblPr>
        <w:tblW w:w="10350" w:type="dxa"/>
        <w:jc w:val="start"/>
        <w:tblInd w:w="-330" w:type="dxa"/>
        <w:tblLayout w:type="fixed"/>
        <w:tblCellMar>
          <w:top w:w="0" w:type="dxa"/>
          <w:start w:w="30" w:type="dxa"/>
          <w:bottom w:w="0" w:type="dxa"/>
          <w:end w:w="30" w:type="dxa"/>
        </w:tblCellMar>
      </w:tblPr>
      <w:tblGrid>
        <w:gridCol w:w="1530"/>
        <w:gridCol w:w="1620"/>
        <w:gridCol w:w="7200"/>
      </w:tblGrid>
      <w:tr>
        <w:trPr>
          <w:trHeight w:val="258" w:hRule="atLeast"/>
        </w:trPr>
        <w:tc>
          <w:tcPr>
            <w:tcW w:w="1530" w:type="dxa"/>
            <w:tcBorders>
              <w:top w:val="single" w:sz="4" w:space="0" w:color="000000"/>
              <w:start w:val="single" w:sz="4" w:space="0" w:color="000000"/>
              <w:bottom w:val="single" w:sz="6" w:space="0" w:color="000000"/>
              <w:end w:val="single" w:sz="6" w:space="0" w:color="000000"/>
            </w:tcBorders>
          </w:tcPr>
          <w:p>
            <w:pPr>
              <w:pStyle w:val="Normal"/>
              <w:rPr>
                <w:rFonts w:ascii="Arial" w:hAnsi="Arial" w:cs="Arial"/>
                <w:b/>
                <w:color w:val="000000"/>
                <w:sz w:val="22"/>
                <w:lang w:eastAsia="en-US"/>
              </w:rPr>
            </w:pPr>
            <w:r>
              <w:rPr>
                <w:rFonts w:cs="Arial" w:ascii="Arial" w:hAnsi="Arial"/>
                <w:b/>
                <w:color w:val="000000"/>
                <w:sz w:val="22"/>
                <w:lang w:eastAsia="en-US"/>
              </w:rPr>
              <w:t>File Header</w:t>
            </w:r>
          </w:p>
        </w:tc>
        <w:tc>
          <w:tcPr>
            <w:tcW w:w="1620" w:type="dxa"/>
            <w:tcBorders>
              <w:top w:val="single" w:sz="4"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cs="Arial" w:ascii="Arial" w:hAnsi="Arial"/>
                <w:b/>
                <w:color w:val="000000"/>
                <w:sz w:val="22"/>
                <w:lang w:eastAsia="en-US"/>
              </w:rPr>
              <w:t>Data Type (max length)</w:t>
            </w:r>
          </w:p>
        </w:tc>
        <w:tc>
          <w:tcPr>
            <w:tcW w:w="7200" w:type="dxa"/>
            <w:tcBorders>
              <w:top w:val="single" w:sz="4" w:space="0" w:color="000000"/>
              <w:start w:val="single" w:sz="6" w:space="0" w:color="000000"/>
              <w:bottom w:val="single" w:sz="6" w:space="0" w:color="000000"/>
              <w:end w:val="single" w:sz="4" w:space="0" w:color="000000"/>
            </w:tcBorders>
          </w:tcPr>
          <w:p>
            <w:pPr>
              <w:pStyle w:val="Normal"/>
              <w:jc w:val="center"/>
              <w:rPr>
                <w:rFonts w:ascii="Arial" w:hAnsi="Arial" w:cs="Arial"/>
                <w:b/>
                <w:color w:val="000000"/>
                <w:sz w:val="22"/>
                <w:lang w:eastAsia="en-US"/>
              </w:rPr>
            </w:pPr>
            <w:r>
              <w:rPr>
                <w:rFonts w:cs="Arial" w:ascii="Arial" w:hAnsi="Arial"/>
                <w:b/>
                <w:color w:val="000000"/>
                <w:sz w:val="22"/>
                <w:lang w:eastAsia="en-US"/>
              </w:rPr>
              <w:t>Comments/Definitions</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Trans_ID</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String (50)</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Unique transaction ID for each operating date and operating hour.  Included for sake of consistency with FERC reporting requirements and potential use in tracking/merging data. Optional field.    </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Market</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String (3)</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Should read “ISO” (included for consistency with FERC requirements) </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Bidder</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String (4)</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SC_ID used in scheduling in ISO markets.</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Unit_ID</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String (50)</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Unit ID used in scheduling each resource within ISO control area. For imports, String (50)</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MType</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String (1)</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Market Type Codes: E=Energy,  A=Ancillary service capacity market</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Etype</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String (3)</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ISO Energy Types: </w:t>
            </w:r>
            <w:r>
              <w:rPr>
                <w:rFonts w:cs="Arial" w:ascii="Arial" w:hAnsi="Arial"/>
                <w:sz w:val="22"/>
              </w:rPr>
              <w:t>SP=Spin, NS=Non-spin, RP=Replacement, SE=Supplemental Energy, OOM=Out-of-market transactions.</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Opr_Date</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Date </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Operating Date (mm/dd/yyyy)</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Opr_Hour</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Number</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Operation Hour (same as Hour Ending used in ISO scheduling) (hh:mm)</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BidPrc </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Number</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Bid Price ($/MWh for energy or $/MW for A/S capacity)</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BidMW</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Number</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Quantity covered by bid (MW)</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OutMW</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Number</w:t>
            </w:r>
          </w:p>
        </w:tc>
        <w:tc>
          <w:tcPr>
            <w:tcW w:w="7200" w:type="dxa"/>
            <w:tcBorders>
              <w:top w:val="single" w:sz="6" w:space="0" w:color="000000"/>
              <w:start w:val="single" w:sz="6" w:space="0" w:color="000000"/>
              <w:bottom w:val="single" w:sz="6" w:space="0" w:color="000000"/>
              <w:end w:val="single" w:sz="4" w:space="0" w:color="000000"/>
            </w:tcBorders>
          </w:tcPr>
          <w:p>
            <w:pPr>
              <w:pStyle w:val="Normal"/>
              <w:rPr/>
            </w:pPr>
            <w:r>
              <w:rPr>
                <w:rFonts w:cs="Arial" w:ascii="Arial" w:hAnsi="Arial"/>
                <w:color w:val="000000"/>
                <w:sz w:val="22"/>
                <w:lang w:eastAsia="en-US"/>
              </w:rPr>
              <w:t xml:space="preserve">Quantity of bid actually accepted/dispatched (MW). See attached notes about link and potential difference between </w:t>
            </w:r>
            <w:r>
              <w:rPr>
                <w:rFonts w:cs="Arial" w:ascii="Arial" w:hAnsi="Arial"/>
                <w:b/>
                <w:color w:val="000000"/>
                <w:sz w:val="22"/>
                <w:lang w:eastAsia="en-US"/>
              </w:rPr>
              <w:t>BidMW</w:t>
            </w:r>
            <w:r>
              <w:rPr>
                <w:rFonts w:cs="Arial" w:ascii="Arial" w:hAnsi="Arial"/>
                <w:color w:val="000000"/>
                <w:sz w:val="22"/>
                <w:lang w:eastAsia="en-US"/>
              </w:rPr>
              <w:t xml:space="preserve"> and </w:t>
            </w:r>
            <w:r>
              <w:rPr>
                <w:rFonts w:cs="Arial" w:ascii="Arial" w:hAnsi="Arial"/>
                <w:b/>
                <w:color w:val="000000"/>
                <w:sz w:val="22"/>
                <w:lang w:eastAsia="en-US"/>
              </w:rPr>
              <w:t>OutMW.</w:t>
            </w:r>
            <w:r>
              <w:rPr>
                <w:rFonts w:cs="Arial" w:ascii="Arial" w:hAnsi="Arial"/>
                <w:color w:val="000000"/>
                <w:sz w:val="22"/>
                <w:lang w:eastAsia="en-US"/>
              </w:rPr>
              <w:t xml:space="preserve"> </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Hrate</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Number</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Heat Rate (btu/kWh). Provide for thermal units only based on actual fuel consumption and estimated heat content.</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Ftype</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String (1)</w:t>
            </w:r>
          </w:p>
        </w:tc>
        <w:tc>
          <w:tcPr>
            <w:tcW w:w="7200" w:type="dxa"/>
            <w:tcBorders>
              <w:top w:val="single" w:sz="6" w:space="0" w:color="000000"/>
              <w:start w:val="single" w:sz="6" w:space="0" w:color="000000"/>
              <w:bottom w:val="single" w:sz="6" w:space="0" w:color="000000"/>
              <w:end w:val="single" w:sz="4" w:space="0" w:color="000000"/>
            </w:tcBorders>
          </w:tcPr>
          <w:p>
            <w:pPr>
              <w:pStyle w:val="Normal"/>
              <w:rPr/>
            </w:pPr>
            <w:r>
              <w:rPr>
                <w:rFonts w:cs="Arial" w:ascii="Arial" w:hAnsi="Arial"/>
                <w:color w:val="000000"/>
                <w:sz w:val="22"/>
                <w:lang w:eastAsia="en-US"/>
              </w:rPr>
              <w:t xml:space="preserve">Fuel Type Code: G=Natural Gas, O=Fuel Oil, J=Jet fuel, H=Hydro, P=Pumped Storage, C=Coal, N=Nuclear, O=Other (Describe “Other” in </w:t>
            </w:r>
            <w:r>
              <w:rPr>
                <w:rFonts w:cs="Arial" w:ascii="Arial" w:hAnsi="Arial"/>
                <w:b/>
                <w:color w:val="000000"/>
                <w:sz w:val="22"/>
                <w:lang w:eastAsia="en-US"/>
              </w:rPr>
              <w:t>FNotes</w:t>
            </w:r>
            <w:r>
              <w:rPr>
                <w:rFonts w:cs="Arial" w:ascii="Arial" w:hAnsi="Arial"/>
                <w:color w:val="000000"/>
                <w:sz w:val="22"/>
                <w:lang w:eastAsia="en-US"/>
              </w:rPr>
              <w:t xml:space="preserve"> field)</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Fnotes</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String (50)</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Fuel Type Notes field for additional notes on fuel type. Include supplemental documentation separately if over 50 characters.</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Tfuel</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Number</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Total fuel input quantity. </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Units</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Number</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Units of fuel (e.g. mcf).</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Btu</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Number</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Assumed heat content of fuel (Mbtu/unit). </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Fcost</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Number</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Total fuel cost in dollars ($). </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Nrate</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Number</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NOx Emissions Rate (lbs/MWh) </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Ncost</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Number</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NOx Emissions Cost ($/lb).  </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Ecost</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Number</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Other environmental compliance costs ($/MWh).  </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Vcost</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Number</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Variable O&amp;M ($/MWh). </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Ocost</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Number</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Other costs ($/MWh). </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Pcost</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Number</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Purchase cost of supply if not generated by bidder ($/MWh). </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Supplier</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String (10)</w:t>
            </w:r>
          </w:p>
        </w:tc>
        <w:tc>
          <w:tcPr>
            <w:tcW w:w="7200" w:type="dxa"/>
            <w:tcBorders>
              <w:top w:val="single" w:sz="6" w:space="0" w:color="000000"/>
              <w:start w:val="single" w:sz="6" w:space="0" w:color="000000"/>
              <w:bottom w:val="single" w:sz="6" w:space="0" w:color="000000"/>
              <w:end w:val="single" w:sz="4" w:space="0" w:color="000000"/>
            </w:tcBorders>
          </w:tcPr>
          <w:p>
            <w:pPr>
              <w:pStyle w:val="Normal"/>
              <w:rPr/>
            </w:pPr>
            <w:r>
              <w:rPr>
                <w:rFonts w:cs="Arial" w:ascii="Arial" w:hAnsi="Arial"/>
                <w:color w:val="000000"/>
                <w:sz w:val="22"/>
                <w:lang w:eastAsia="en-US"/>
              </w:rPr>
              <w:t xml:space="preserve">Short name or description of supplier if not generated by specific resource known by bidder. May be used to electronically reference separate file with complete supplier name (including personal contact name, mailing address and phone number) that may be used to verify supply source. (Optional if complete supplier contact data provided in </w:t>
            </w:r>
            <w:r>
              <w:rPr>
                <w:rFonts w:cs="Arial" w:ascii="Arial" w:hAnsi="Arial"/>
                <w:b/>
                <w:color w:val="000000"/>
                <w:sz w:val="22"/>
                <w:lang w:eastAsia="en-US"/>
              </w:rPr>
              <w:t>SNotes</w:t>
            </w:r>
            <w:r>
              <w:rPr>
                <w:rFonts w:cs="Arial" w:ascii="Arial" w:hAnsi="Arial"/>
                <w:color w:val="000000"/>
                <w:sz w:val="22"/>
                <w:lang w:eastAsia="en-US"/>
              </w:rPr>
              <w:t xml:space="preserve"> field).</w:t>
            </w:r>
          </w:p>
        </w:tc>
      </w:tr>
      <w:tr>
        <w:trPr>
          <w:trHeight w:val="345" w:hRule="atLeast"/>
        </w:trPr>
        <w:tc>
          <w:tcPr>
            <w:tcW w:w="1530" w:type="dxa"/>
            <w:tcBorders>
              <w:top w:val="single" w:sz="6" w:space="0" w:color="000000"/>
              <w:start w:val="single" w:sz="4" w:space="0" w:color="000000"/>
              <w:bottom w:val="single" w:sz="4"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Snotes</w:t>
            </w:r>
          </w:p>
        </w:tc>
        <w:tc>
          <w:tcPr>
            <w:tcW w:w="1620" w:type="dxa"/>
            <w:tcBorders>
              <w:top w:val="single" w:sz="6" w:space="0" w:color="000000"/>
              <w:start w:val="single" w:sz="6" w:space="0" w:color="000000"/>
              <w:bottom w:val="single" w:sz="4"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String (50)</w:t>
            </w:r>
          </w:p>
        </w:tc>
        <w:tc>
          <w:tcPr>
            <w:tcW w:w="7200" w:type="dxa"/>
            <w:tcBorders>
              <w:top w:val="single" w:sz="6" w:space="0" w:color="000000"/>
              <w:start w:val="single" w:sz="6" w:space="0" w:color="000000"/>
              <w:bottom w:val="single" w:sz="4" w:space="0" w:color="000000"/>
              <w:end w:val="single" w:sz="4" w:space="0" w:color="000000"/>
            </w:tcBorders>
          </w:tcPr>
          <w:p>
            <w:pPr>
              <w:pStyle w:val="Normal"/>
              <w:rPr/>
            </w:pPr>
            <w:r>
              <w:rPr>
                <w:rFonts w:cs="Arial" w:ascii="Arial" w:hAnsi="Arial"/>
                <w:color w:val="000000"/>
                <w:sz w:val="22"/>
                <w:lang w:eastAsia="en-US"/>
              </w:rPr>
              <w:t xml:space="preserve">Must include personal contact name, mailing address and phone number that may be used to verify supply source if (a) generation was not supplied by specific resource known by bidder, and (b) complete supplier contact information is </w:t>
            </w:r>
            <w:r>
              <w:rPr>
                <w:rFonts w:cs="Arial" w:ascii="Arial" w:hAnsi="Arial"/>
                <w:color w:val="000000"/>
                <w:sz w:val="22"/>
                <w:u w:val="single"/>
                <w:lang w:eastAsia="en-US"/>
              </w:rPr>
              <w:t xml:space="preserve">not </w:t>
            </w:r>
            <w:r>
              <w:rPr>
                <w:rFonts w:cs="Arial" w:ascii="Arial" w:hAnsi="Arial"/>
                <w:color w:val="000000"/>
                <w:sz w:val="22"/>
                <w:lang w:eastAsia="en-US"/>
              </w:rPr>
              <w:t xml:space="preserve">provided in supplier contact file, linked by supplier “shortname” in </w:t>
            </w:r>
            <w:r>
              <w:rPr>
                <w:rFonts w:cs="Arial" w:ascii="Arial" w:hAnsi="Arial"/>
                <w:b/>
                <w:color w:val="000000"/>
                <w:sz w:val="22"/>
                <w:lang w:eastAsia="en-US"/>
              </w:rPr>
              <w:t>Supplier</w:t>
            </w:r>
            <w:r>
              <w:rPr>
                <w:rFonts w:cs="Arial" w:ascii="Arial" w:hAnsi="Arial"/>
                <w:color w:val="000000"/>
                <w:sz w:val="22"/>
                <w:lang w:eastAsia="en-US"/>
              </w:rPr>
              <w:t xml:space="preserve"> field. Include supplemental documentation separately if over 50 characters. </w:t>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4"/>
        <w:ind w:hanging="0" w:start="0"/>
        <w:jc w:val="start"/>
        <w:rPr>
          <w:rFonts w:ascii="Arial" w:hAnsi="Arial" w:cs="Arial"/>
          <w:sz w:val="22"/>
        </w:rPr>
      </w:pPr>
      <w:r>
        <w:rPr>
          <w:rFonts w:cs="Arial"/>
          <w:sz w:val="22"/>
        </w:rPr>
      </w:r>
    </w:p>
    <w:p>
      <w:pPr>
        <w:pStyle w:val="Heading4"/>
        <w:ind w:hanging="0" w:start="0"/>
        <w:rPr/>
      </w:pPr>
      <w:r>
        <w:rPr/>
        <w:t xml:space="preserve">Supplier Contract Information </w:t>
      </w:r>
    </w:p>
    <w:p>
      <w:pPr>
        <w:pStyle w:val="Heading4"/>
        <w:ind w:hanging="0" w:start="0"/>
        <w:rPr/>
      </w:pPr>
      <w:r>
        <w:rPr/>
        <w:t xml:space="preserve">(Optional if complete supplier information provided in “Snotes” field of hourly transaction file) </w:t>
      </w:r>
    </w:p>
    <w:p>
      <w:pPr>
        <w:pStyle w:val="Normal"/>
        <w:rPr/>
      </w:pPr>
      <w:r>
        <w:rPr/>
      </w:r>
    </w:p>
    <w:tbl>
      <w:tblPr>
        <w:tblW w:w="10350" w:type="dxa"/>
        <w:jc w:val="start"/>
        <w:tblInd w:w="-330" w:type="dxa"/>
        <w:tblLayout w:type="fixed"/>
        <w:tblCellMar>
          <w:top w:w="0" w:type="dxa"/>
          <w:start w:w="30" w:type="dxa"/>
          <w:bottom w:w="0" w:type="dxa"/>
          <w:end w:w="30" w:type="dxa"/>
        </w:tblCellMar>
      </w:tblPr>
      <w:tblGrid>
        <w:gridCol w:w="1530"/>
        <w:gridCol w:w="1620"/>
        <w:gridCol w:w="7200"/>
      </w:tblGrid>
      <w:tr>
        <w:trPr>
          <w:trHeight w:val="258" w:hRule="atLeast"/>
        </w:trPr>
        <w:tc>
          <w:tcPr>
            <w:tcW w:w="1530" w:type="dxa"/>
            <w:tcBorders>
              <w:top w:val="single" w:sz="4" w:space="0" w:color="000000"/>
              <w:start w:val="single" w:sz="4" w:space="0" w:color="000000"/>
              <w:bottom w:val="single" w:sz="6" w:space="0" w:color="000000"/>
              <w:end w:val="single" w:sz="6" w:space="0" w:color="000000"/>
            </w:tcBorders>
          </w:tcPr>
          <w:p>
            <w:pPr>
              <w:pStyle w:val="Normal"/>
              <w:rPr>
                <w:rFonts w:ascii="Arial" w:hAnsi="Arial" w:cs="Arial"/>
                <w:b/>
                <w:color w:val="000000"/>
                <w:sz w:val="22"/>
                <w:lang w:eastAsia="en-US"/>
              </w:rPr>
            </w:pPr>
            <w:r>
              <w:rPr>
                <w:rFonts w:cs="Arial" w:ascii="Arial" w:hAnsi="Arial"/>
                <w:b/>
                <w:color w:val="000000"/>
                <w:sz w:val="22"/>
                <w:lang w:eastAsia="en-US"/>
              </w:rPr>
              <w:t>File Header</w:t>
            </w:r>
          </w:p>
        </w:tc>
        <w:tc>
          <w:tcPr>
            <w:tcW w:w="1620" w:type="dxa"/>
            <w:tcBorders>
              <w:top w:val="single" w:sz="4"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cs="Arial" w:ascii="Arial" w:hAnsi="Arial"/>
                <w:b/>
                <w:color w:val="000000"/>
                <w:sz w:val="22"/>
                <w:lang w:eastAsia="en-US"/>
              </w:rPr>
              <w:t>Data Type (max length)</w:t>
            </w:r>
          </w:p>
        </w:tc>
        <w:tc>
          <w:tcPr>
            <w:tcW w:w="7200" w:type="dxa"/>
            <w:tcBorders>
              <w:top w:val="single" w:sz="4" w:space="0" w:color="000000"/>
              <w:start w:val="single" w:sz="6" w:space="0" w:color="000000"/>
              <w:bottom w:val="single" w:sz="6" w:space="0" w:color="000000"/>
              <w:end w:val="single" w:sz="4" w:space="0" w:color="000000"/>
            </w:tcBorders>
          </w:tcPr>
          <w:p>
            <w:pPr>
              <w:pStyle w:val="Normal"/>
              <w:jc w:val="center"/>
              <w:rPr>
                <w:rFonts w:ascii="Arial" w:hAnsi="Arial" w:cs="Arial"/>
                <w:b/>
                <w:color w:val="000000"/>
                <w:sz w:val="22"/>
                <w:lang w:eastAsia="en-US"/>
              </w:rPr>
            </w:pPr>
            <w:r>
              <w:rPr>
                <w:rFonts w:cs="Arial" w:ascii="Arial" w:hAnsi="Arial"/>
                <w:b/>
                <w:color w:val="000000"/>
                <w:sz w:val="22"/>
                <w:lang w:eastAsia="en-US"/>
              </w:rPr>
              <w:t>Comments/Definitions</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Supplier</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String (10)</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Short name or description of supplier. May be used to electronically document separate hourly transaction file.</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Company1</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String (50)</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Company name. </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Company2</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String (50)</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Additional company name information (Optional)</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Contact1</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String (50)</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Contact Name</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Phone1</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Number</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Phone number for contact #1</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Address1A </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String</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Street Address for contact #1 </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Address1B </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String</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Additional Address info for contact #1 (Optional)</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City1</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String</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City for contact #1</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State1</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String</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State for contact #1</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Zip1</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Number</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Zip code for contact #1</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Contact2</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String (50)</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Contact Name #2 (Optional)</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Phone2</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Number</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Phone number for contact #2 (Optional)</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Address2A </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String</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Street Address for contact #2 (Optional)</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 xml:space="preserve">Address2B </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String</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Additional Address info for contact #2 (Optional)</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City2</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String</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City for contact #2 (Optional)</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State2</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String</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State for contact #2 (Optional)</w:t>
            </w:r>
          </w:p>
        </w:tc>
      </w:tr>
      <w:tr>
        <w:trPr>
          <w:trHeight w:val="258" w:hRule="atLeast"/>
        </w:trPr>
        <w:tc>
          <w:tcPr>
            <w:tcW w:w="1530" w:type="dxa"/>
            <w:tcBorders>
              <w:top w:val="single" w:sz="6" w:space="0" w:color="000000"/>
              <w:start w:val="single" w:sz="4"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Zip2</w:t>
            </w:r>
          </w:p>
        </w:tc>
        <w:tc>
          <w:tcPr>
            <w:tcW w:w="16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Number</w:t>
            </w:r>
          </w:p>
        </w:tc>
        <w:tc>
          <w:tcPr>
            <w:tcW w:w="7200" w:type="dxa"/>
            <w:tcBorders>
              <w:top w:val="single" w:sz="6" w:space="0" w:color="000000"/>
              <w:start w:val="single" w:sz="6" w:space="0" w:color="000000"/>
              <w:bottom w:val="single" w:sz="6"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Zip code for contact #2 (Optional)</w:t>
            </w:r>
          </w:p>
        </w:tc>
      </w:tr>
      <w:tr>
        <w:trPr>
          <w:trHeight w:val="258" w:hRule="atLeast"/>
        </w:trPr>
        <w:tc>
          <w:tcPr>
            <w:tcW w:w="1530" w:type="dxa"/>
            <w:tcBorders>
              <w:top w:val="single" w:sz="6" w:space="0" w:color="000000"/>
              <w:start w:val="single" w:sz="4" w:space="0" w:color="000000"/>
              <w:bottom w:val="single" w:sz="4"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Notes</w:t>
            </w:r>
          </w:p>
        </w:tc>
        <w:tc>
          <w:tcPr>
            <w:tcW w:w="1620" w:type="dxa"/>
            <w:tcBorders>
              <w:top w:val="single" w:sz="6" w:space="0" w:color="000000"/>
              <w:start w:val="single" w:sz="6" w:space="0" w:color="000000"/>
              <w:bottom w:val="single" w:sz="4" w:space="0" w:color="000000"/>
              <w:end w:val="single" w:sz="6" w:space="0" w:color="000000"/>
            </w:tcBorders>
          </w:tcPr>
          <w:p>
            <w:pPr>
              <w:pStyle w:val="Normal"/>
              <w:rPr>
                <w:rFonts w:ascii="Arial" w:hAnsi="Arial" w:cs="Arial"/>
                <w:color w:val="000000"/>
                <w:sz w:val="22"/>
                <w:lang w:eastAsia="en-US"/>
              </w:rPr>
            </w:pPr>
            <w:r>
              <w:rPr>
                <w:rFonts w:cs="Arial" w:ascii="Arial" w:hAnsi="Arial"/>
                <w:color w:val="000000"/>
                <w:sz w:val="22"/>
                <w:lang w:eastAsia="en-US"/>
              </w:rPr>
              <w:t>String (50)</w:t>
            </w:r>
          </w:p>
        </w:tc>
        <w:tc>
          <w:tcPr>
            <w:tcW w:w="7200" w:type="dxa"/>
            <w:tcBorders>
              <w:top w:val="single" w:sz="6" w:space="0" w:color="000000"/>
              <w:start w:val="single" w:sz="6" w:space="0" w:color="000000"/>
              <w:bottom w:val="single" w:sz="4" w:space="0" w:color="000000"/>
              <w:end w:val="single" w:sz="4" w:space="0" w:color="000000"/>
            </w:tcBorders>
          </w:tcPr>
          <w:p>
            <w:pPr>
              <w:pStyle w:val="Normal"/>
              <w:rPr>
                <w:rFonts w:ascii="Arial" w:hAnsi="Arial" w:cs="Arial"/>
                <w:color w:val="000000"/>
                <w:sz w:val="22"/>
                <w:lang w:eastAsia="en-US"/>
              </w:rPr>
            </w:pPr>
            <w:r>
              <w:rPr>
                <w:rFonts w:cs="Arial" w:ascii="Arial" w:hAnsi="Arial"/>
                <w:color w:val="000000"/>
                <w:sz w:val="22"/>
                <w:lang w:eastAsia="en-US"/>
              </w:rPr>
              <w:t>Additional notes field (Optional)</w:t>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r>
        <w:br w:type="page"/>
      </w:r>
    </w:p>
    <w:p>
      <w:pPr>
        <w:pStyle w:val="Normal"/>
        <w:jc w:val="center"/>
        <w:rPr>
          <w:rFonts w:ascii="Arial" w:hAnsi="Arial" w:cs="Arial"/>
          <w:sz w:val="22"/>
        </w:rPr>
      </w:pPr>
      <w:r>
        <w:rPr>
          <w:rFonts w:cs="Arial" w:ascii="Arial" w:hAnsi="Arial"/>
          <w:sz w:val="22"/>
        </w:rPr>
      </w:r>
    </w:p>
    <w:p>
      <w:pPr>
        <w:pStyle w:val="Normal"/>
        <w:jc w:val="center"/>
        <w:rPr>
          <w:rFonts w:ascii="Arial" w:hAnsi="Arial" w:cs="Arial"/>
          <w:b/>
          <w:sz w:val="22"/>
          <w:u w:val="single"/>
        </w:rPr>
      </w:pPr>
      <w:r>
        <w:rPr>
          <w:rFonts w:cs="Arial" w:ascii="Arial" w:hAnsi="Arial"/>
          <w:b/>
          <w:sz w:val="22"/>
          <w:u w:val="single"/>
        </w:rPr>
        <w:t>Additional Notes</w:t>
      </w:r>
    </w:p>
    <w:p>
      <w:pPr>
        <w:pStyle w:val="Normal"/>
        <w:rPr>
          <w:rFonts w:ascii="Arial" w:hAnsi="Arial" w:cs="Arial"/>
          <w:b/>
          <w:sz w:val="22"/>
          <w:u w:val="single"/>
        </w:rPr>
      </w:pPr>
      <w:r>
        <w:rPr>
          <w:rFonts w:cs="Arial" w:ascii="Arial" w:hAnsi="Arial"/>
          <w:b/>
          <w:sz w:val="22"/>
          <w:u w:val="single"/>
        </w:rPr>
      </w:r>
    </w:p>
    <w:p>
      <w:pPr>
        <w:pStyle w:val="Heading1"/>
        <w:ind w:hanging="0" w:start="0"/>
        <w:rPr/>
      </w:pPr>
      <w:r>
        <w:rPr/>
        <w:t>Trans ID</w:t>
      </w:r>
    </w:p>
    <w:p>
      <w:pPr>
        <w:pStyle w:val="Normal"/>
        <w:rPr>
          <w:rFonts w:ascii="Arial" w:hAnsi="Arial" w:cs="Arial"/>
          <w:sz w:val="22"/>
        </w:rPr>
      </w:pPr>
      <w:r>
        <w:rPr>
          <w:rFonts w:cs="Arial" w:ascii="Arial" w:hAnsi="Arial"/>
          <w:sz w:val="22"/>
        </w:rPr>
      </w:r>
    </w:p>
    <w:p>
      <w:pPr>
        <w:pStyle w:val="Normal"/>
        <w:rPr>
          <w:rFonts w:ascii="Arial" w:hAnsi="Arial" w:cs="Arial"/>
          <w:color w:val="000000"/>
          <w:sz w:val="22"/>
          <w:lang w:eastAsia="en-US"/>
        </w:rPr>
      </w:pPr>
      <w:r>
        <w:rPr>
          <w:rFonts w:cs="Arial" w:ascii="Arial" w:hAnsi="Arial"/>
          <w:color w:val="000000"/>
          <w:sz w:val="22"/>
          <w:lang w:eastAsia="en-US"/>
        </w:rPr>
        <w:t xml:space="preserve">This is included to be consistent with FERC reporting requirements.  </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rFonts w:ascii="Arial" w:hAnsi="Arial" w:cs="Arial"/>
          <w:color w:val="000000"/>
          <w:sz w:val="22"/>
          <w:lang w:eastAsia="en-US"/>
        </w:rPr>
      </w:pPr>
      <w:r>
        <w:rPr>
          <w:rFonts w:cs="Arial" w:ascii="Arial" w:hAnsi="Arial"/>
          <w:color w:val="000000"/>
          <w:sz w:val="22"/>
          <w:lang w:eastAsia="en-US"/>
        </w:rPr>
        <w:t xml:space="preserve">The ISO notes that for each operating hour, a real time energy bid, dispatch or out-of-market purchase can be typically represents of unique combination of the following fields or data items in the attached table:  (1) Unit_id,(2) EType, and (3) bid price.  As noted below, Unit_id for imports is defined as a concatenation of the ISO Tie Point code and the ISO Interchange ID code (with a backslash “/” inserted between the two concatenated character strings). </w:t>
      </w:r>
    </w:p>
    <w:p>
      <w:pPr>
        <w:pStyle w:val="Normal"/>
        <w:rPr>
          <w:rFonts w:ascii="Arial" w:hAnsi="Arial" w:cs="Arial"/>
          <w:color w:val="000000"/>
          <w:sz w:val="22"/>
          <w:lang w:eastAsia="en-US"/>
        </w:rPr>
      </w:pPr>
      <w:r>
        <w:rPr>
          <w:rFonts w:cs="Arial" w:ascii="Arial" w:hAnsi="Arial"/>
          <w:color w:val="000000"/>
          <w:sz w:val="22"/>
          <w:lang w:eastAsia="en-US"/>
        </w:rPr>
      </w:r>
    </w:p>
    <w:p>
      <w:pPr>
        <w:pStyle w:val="Heading3"/>
        <w:ind w:hanging="0" w:start="0"/>
        <w:rPr/>
      </w:pPr>
      <w:r>
        <w:rPr/>
        <w:t>Unit_Id</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rFonts w:ascii="Arial" w:hAnsi="Arial" w:cs="Arial"/>
          <w:color w:val="000000"/>
          <w:sz w:val="22"/>
          <w:lang w:eastAsia="en-US"/>
        </w:rPr>
      </w:pPr>
      <w:r>
        <w:rPr>
          <w:rFonts w:cs="Arial" w:ascii="Arial" w:hAnsi="Arial"/>
          <w:color w:val="000000"/>
          <w:sz w:val="22"/>
          <w:lang w:eastAsia="en-US"/>
        </w:rPr>
        <w:t xml:space="preserve">For import bids and transactions, the Unit_ID field should be defined as a concatenation of the ISO tie point code and the ISO Interchange ID code (with a backslash “/” inserted between the two concatenated character strings). </w:t>
      </w:r>
    </w:p>
    <w:p>
      <w:pPr>
        <w:pStyle w:val="Normal"/>
        <w:rPr>
          <w:rFonts w:ascii="Arial" w:hAnsi="Arial" w:cs="Arial"/>
          <w:color w:val="000000"/>
          <w:sz w:val="22"/>
          <w:lang w:eastAsia="en-US"/>
        </w:rPr>
      </w:pPr>
      <w:r>
        <w:rPr>
          <w:rFonts w:cs="Arial" w:ascii="Arial" w:hAnsi="Arial"/>
          <w:color w:val="000000"/>
          <w:sz w:val="22"/>
          <w:lang w:eastAsia="en-US"/>
        </w:rPr>
      </w:r>
    </w:p>
    <w:p>
      <w:pPr>
        <w:pStyle w:val="Heading1"/>
        <w:ind w:hanging="0" w:start="0"/>
        <w:rPr/>
      </w:pPr>
      <w:r>
        <w:rPr/>
        <w:t>Bid and Supplied MWs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If the amount of energy dispatched by the ISO from a resource is less than the amount of energy bid from a resource, it should be assumed that energy is dispatched in merit order.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For instance, assume that </w:t>
      </w:r>
      <w:r>
        <w:rPr>
          <w:rFonts w:cs="Arial" w:ascii="Arial" w:hAnsi="Arial"/>
          <w:color w:val="000000"/>
          <w:sz w:val="22"/>
          <w:lang w:eastAsia="en-US"/>
        </w:rPr>
        <w:t>a specific resource is providing 10 MW of spinning reserve during an hour, and submits two bid segments associated with this spinning reserve capacity (e.g. 5 MW at $275 and 5 MW at $300).  I</w:t>
      </w:r>
      <w:r>
        <w:rPr>
          <w:rFonts w:cs="Arial" w:ascii="Arial" w:hAnsi="Arial"/>
          <w:sz w:val="22"/>
        </w:rPr>
        <w:t xml:space="preserve">f the </w:t>
      </w:r>
      <w:r>
        <w:rPr>
          <w:rFonts w:cs="Arial" w:ascii="Arial" w:hAnsi="Arial"/>
          <w:color w:val="000000"/>
          <w:sz w:val="22"/>
          <w:lang w:eastAsia="en-US"/>
        </w:rPr>
        <w:t>resource was called to provide 8</w:t>
      </w:r>
      <w:r>
        <w:rPr>
          <w:rFonts w:cs="Arial" w:ascii="Arial" w:hAnsi="Arial"/>
          <w:sz w:val="22"/>
        </w:rPr>
        <w:t xml:space="preserve"> MW of spinning reserve during the hour, it should be assumed that the entire 5 MW bit at $275 was dispatched and that 3 MW of the 5 MW bid at $300 was dispatched</w:t>
      </w:r>
      <w:r>
        <w:rPr>
          <w:rFonts w:cs="Arial" w:ascii="Arial" w:hAnsi="Arial"/>
          <w:color w:val="000000"/>
          <w:sz w:val="22"/>
          <w:lang w:eastAsia="en-US"/>
        </w:rPr>
        <w:t>.</w:t>
      </w:r>
    </w:p>
    <w:p>
      <w:pPr>
        <w:pStyle w:val="Normal"/>
        <w:rPr>
          <w:rFonts w:ascii="Arial" w:hAnsi="Arial" w:cs="Arial"/>
          <w:sz w:val="22"/>
        </w:rPr>
      </w:pPr>
      <w:r>
        <w:rPr>
          <w:rFonts w:cs="Arial" w:ascii="Arial" w:hAnsi="Arial"/>
          <w:sz w:val="22"/>
        </w:rPr>
      </w:r>
    </w:p>
    <w:p>
      <w:pPr>
        <w:pStyle w:val="Heading2"/>
        <w:ind w:hanging="0" w:start="0"/>
        <w:rPr>
          <w:sz w:val="22"/>
        </w:rPr>
      </w:pPr>
      <w:r>
        <w:rPr>
          <w:sz w:val="22"/>
        </w:rPr>
        <w:t>Supplier</w:t>
      </w:r>
    </w:p>
    <w:p>
      <w:pPr>
        <w:pStyle w:val="Normal"/>
        <w:rPr>
          <w:rFonts w:ascii="Arial" w:hAnsi="Arial" w:cs="Arial"/>
          <w:sz w:val="22"/>
        </w:rPr>
      </w:pPr>
      <w:r>
        <w:rPr>
          <w:rFonts w:cs="Arial" w:ascii="Arial" w:hAnsi="Arial"/>
          <w:sz w:val="22"/>
        </w:rPr>
      </w:r>
    </w:p>
    <w:p>
      <w:pPr>
        <w:pStyle w:val="Normal"/>
        <w:rPr/>
      </w:pPr>
      <w:r>
        <w:rPr>
          <w:rFonts w:cs="Arial" w:ascii="Arial" w:hAnsi="Arial"/>
          <w:color w:val="000000"/>
          <w:sz w:val="22"/>
          <w:lang w:eastAsia="en-US"/>
        </w:rPr>
        <w:t xml:space="preserve">The field can be used to link hourly transaction records to detailed supplier information provided in a separate Supplier Information table using a short name or supplier description that is repeated in the Supplier Information Table.  The bidder must provide a personal contact name, mailing address and phone number that may be used to verify supply source either with this relational database approach, or by information directly included in the </w:t>
      </w:r>
      <w:r>
        <w:rPr>
          <w:rFonts w:cs="Arial" w:ascii="Arial" w:hAnsi="Arial"/>
          <w:b/>
          <w:color w:val="000000"/>
          <w:sz w:val="22"/>
          <w:lang w:eastAsia="en-US"/>
        </w:rPr>
        <w:t xml:space="preserve">Snotes </w:t>
      </w:r>
      <w:r>
        <w:rPr>
          <w:rFonts w:cs="Arial" w:ascii="Arial" w:hAnsi="Arial"/>
          <w:color w:val="000000"/>
          <w:sz w:val="22"/>
          <w:lang w:eastAsia="en-US"/>
        </w:rPr>
        <w:t>field.</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pPr>
      <w:r>
        <w:rPr>
          <w:rFonts w:cs="Arial" w:ascii="Arial" w:hAnsi="Arial"/>
          <w:b/>
          <w:sz w:val="22"/>
          <w:u w:val="single"/>
        </w:rPr>
        <w:t>Snotes</w:t>
      </w:r>
      <w:r>
        <w:rPr>
          <w:rFonts w:cs="Arial" w:ascii="Arial" w:hAnsi="Arial"/>
          <w:b/>
          <w:color w:val="000000"/>
          <w:sz w:val="22"/>
          <w:u w:val="single"/>
          <w:lang w:eastAsia="en-US"/>
        </w:rPr>
        <w:t xml:space="preserve"> </w:t>
      </w:r>
    </w:p>
    <w:p>
      <w:pPr>
        <w:pStyle w:val="Normal"/>
        <w:rPr>
          <w:rFonts w:ascii="Arial" w:hAnsi="Arial" w:cs="Arial"/>
          <w:b/>
          <w:color w:val="000000"/>
          <w:sz w:val="22"/>
          <w:u w:val="single"/>
          <w:lang w:eastAsia="en-US"/>
        </w:rPr>
      </w:pPr>
      <w:r>
        <w:rPr>
          <w:rFonts w:cs="Arial" w:ascii="Arial" w:hAnsi="Arial"/>
          <w:b/>
          <w:color w:val="000000"/>
          <w:sz w:val="22"/>
          <w:u w:val="single"/>
          <w:lang w:eastAsia="en-US"/>
        </w:rPr>
      </w:r>
    </w:p>
    <w:p>
      <w:pPr>
        <w:pStyle w:val="Normal"/>
        <w:rPr>
          <w:rFonts w:ascii="Arial" w:hAnsi="Arial" w:cs="Arial"/>
          <w:color w:val="000000"/>
          <w:sz w:val="22"/>
          <w:lang w:eastAsia="en-US"/>
        </w:rPr>
      </w:pPr>
      <w:r>
        <w:rPr>
          <w:rFonts w:cs="Arial" w:ascii="Arial" w:hAnsi="Arial"/>
          <w:color w:val="000000"/>
          <w:sz w:val="22"/>
          <w:lang w:eastAsia="en-US"/>
        </w:rPr>
        <w:t xml:space="preserve">This field can be used to directly provide supplier contact information for individual hourly transactions.  If all information needed to contact the supplier is not included in this field (or exceeds the 50 character limit for this field), supplemental documentation should be provided separately. </w:t>
      </w:r>
      <w:r>
        <w:br w:type="page"/>
      </w:r>
    </w:p>
    <w:p>
      <w:pPr>
        <w:pStyle w:val="Normal"/>
        <w:rPr>
          <w:rFonts w:ascii="Arial" w:hAnsi="Arial" w:cs="Arial"/>
          <w:color w:val="000000"/>
          <w:sz w:val="22"/>
          <w:lang w:eastAsia="en-US"/>
        </w:rPr>
      </w:pPr>
      <w:r>
        <w:rPr>
          <w:rFonts w:cs="Arial" w:ascii="Arial" w:hAnsi="Arial"/>
          <w:color w:val="000000"/>
          <w:sz w:val="22"/>
          <w:lang w:eastAsia="en-US"/>
        </w:rPr>
      </w:r>
    </w:p>
    <w:p>
      <w:pPr>
        <w:pStyle w:val="Heading2"/>
        <w:ind w:hanging="0" w:start="0"/>
        <w:rPr>
          <w:color w:val="000000"/>
          <w:sz w:val="22"/>
          <w:lang w:eastAsia="en-US"/>
        </w:rPr>
      </w:pPr>
      <w:r>
        <w:rPr>
          <w:sz w:val="22"/>
        </w:rPr>
        <w:t>Notes Fields</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rFonts w:ascii="Arial" w:hAnsi="Arial" w:cs="Arial"/>
          <w:color w:val="000000"/>
          <w:sz w:val="22"/>
          <w:lang w:eastAsia="en-US"/>
        </w:rPr>
      </w:pPr>
      <w:r>
        <w:rPr>
          <w:rFonts w:cs="Arial" w:ascii="Arial" w:hAnsi="Arial"/>
          <w:color w:val="000000"/>
          <w:sz w:val="22"/>
          <w:lang w:eastAsia="en-US"/>
        </w:rPr>
        <w:t>Several notes fields have been included for short explanations and documentation of up to 50 characters.</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rFonts w:ascii="Arial" w:hAnsi="Arial" w:cs="Arial"/>
          <w:color w:val="000000"/>
          <w:sz w:val="22"/>
          <w:lang w:eastAsia="en-US"/>
        </w:rPr>
      </w:pPr>
      <w:r>
        <w:rPr>
          <w:rFonts w:cs="Arial" w:ascii="Arial" w:hAnsi="Arial"/>
          <w:color w:val="000000"/>
          <w:sz w:val="22"/>
          <w:lang w:eastAsia="en-US"/>
        </w:rPr>
        <w:t>Notes fields can be used to refer to more detailed supplemental documentation that may be provided separately.</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rFonts w:ascii="Arial" w:hAnsi="Arial" w:cs="Arial"/>
          <w:color w:val="000000"/>
          <w:sz w:val="22"/>
          <w:lang w:eastAsia="en-US"/>
        </w:rPr>
      </w:pPr>
      <w:r>
        <w:rPr>
          <w:rFonts w:cs="Arial" w:ascii="Arial" w:hAnsi="Arial"/>
          <w:color w:val="000000"/>
          <w:sz w:val="22"/>
          <w:lang w:eastAsia="en-US"/>
        </w:rPr>
        <w:t xml:space="preserve">Notes fields can be used to clarify links between records/transactions and more detailed supplemental documentation that may be provided separately.  More detailed supplemental documentation may be provided for separate bid records/transactions, or may apply to groups of records/transactions, as indicated within the documentation of each hourly transaction.  </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rFonts w:ascii="Arial" w:hAnsi="Arial" w:cs="Arial"/>
          <w:color w:val="000000"/>
          <w:sz w:val="22"/>
          <w:lang w:eastAsia="en-US"/>
        </w:rPr>
      </w:pPr>
      <w:r>
        <w:rPr>
          <w:rFonts w:cs="Arial" w:ascii="Arial" w:hAnsi="Arial"/>
          <w:color w:val="000000"/>
          <w:sz w:val="22"/>
          <w:lang w:eastAsia="en-US"/>
        </w:rPr>
        <w:t xml:space="preserve">Text within field may contain commas, but all text within field must be enclosed by quotations, so that file may be correctly read using standard comma delimited file protocols.  </w:t>
      </w:r>
    </w:p>
    <w:p>
      <w:pPr>
        <w:pStyle w:val="Normal"/>
        <w:rPr>
          <w:rFonts w:ascii="Arial" w:hAnsi="Arial" w:eastAsia="Arial" w:cs="Arial"/>
          <w:color w:val="000000"/>
          <w:sz w:val="22"/>
          <w:lang w:eastAsia="en-US"/>
        </w:rPr>
      </w:pPr>
      <w:r>
        <w:rPr>
          <w:rFonts w:eastAsia="Arial" w:cs="Arial" w:ascii="Arial" w:hAnsi="Arial"/>
          <w:color w:val="000000"/>
          <w:sz w:val="22"/>
          <w:lang w:eastAsia="en-US"/>
        </w:rPr>
        <w:t xml:space="preserve">  </w:t>
      </w:r>
    </w:p>
    <w:p>
      <w:pPr>
        <w:pStyle w:val="Heading3"/>
        <w:ind w:hanging="0" w:start="0"/>
        <w:rPr/>
      </w:pPr>
      <w:r>
        <w:rPr/>
        <w:t xml:space="preserve">Supply Cost Data </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rFonts w:ascii="Arial" w:hAnsi="Arial" w:cs="Arial"/>
          <w:color w:val="000000"/>
          <w:sz w:val="22"/>
          <w:lang w:eastAsia="en-US"/>
        </w:rPr>
      </w:pPr>
      <w:r>
        <w:rPr>
          <w:rFonts w:cs="Arial" w:ascii="Arial" w:hAnsi="Arial"/>
          <w:color w:val="000000"/>
          <w:sz w:val="22"/>
          <w:lang w:eastAsia="en-US"/>
        </w:rPr>
        <w:t xml:space="preserve">Supplemental documentation should be provided for all hourly numeric cost data submitted.  </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rFonts w:ascii="Arial" w:hAnsi="Arial" w:cs="Arial"/>
          <w:color w:val="000000"/>
          <w:sz w:val="22"/>
          <w:lang w:eastAsia="en-US"/>
        </w:rPr>
      </w:pPr>
      <w:r>
        <w:rPr>
          <w:rFonts w:cs="Arial" w:ascii="Arial" w:hAnsi="Arial"/>
          <w:color w:val="000000"/>
          <w:sz w:val="22"/>
          <w:lang w:eastAsia="en-US"/>
        </w:rPr>
        <w:t xml:space="preserve">In cases when actual costs are not currently available, estimated cost data should be provided in the hourly file along with supplemental documentation of how cost estimates were derived.  </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rFonts w:ascii="Arial" w:hAnsi="Arial" w:cs="Arial"/>
          <w:color w:val="000000"/>
          <w:sz w:val="22"/>
          <w:lang w:eastAsia="en-US"/>
        </w:rPr>
      </w:pPr>
      <w:r>
        <w:rPr>
          <w:rFonts w:cs="Arial" w:ascii="Arial" w:hAnsi="Arial"/>
          <w:color w:val="000000"/>
          <w:sz w:val="22"/>
          <w:lang w:eastAsia="en-US"/>
        </w:rPr>
        <w:t>Supplemental documentation should also include the reason and the date that reporting and documentation of actual costs is expected to be submitted to the ISO.  Upon completion of this data, a revised data hourly file should be submitted along with documentation.</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2"/>
      <w:u w:val="single"/>
    </w:rPr>
  </w:style>
  <w:style w:type="paragraph" w:styleId="Heading2">
    <w:name w:val="heading 2"/>
    <w:basedOn w:val="Normal"/>
    <w:next w:val="Normal"/>
    <w:qFormat/>
    <w:pPr>
      <w:keepNext w:val="true"/>
      <w:numPr>
        <w:ilvl w:val="1"/>
        <w:numId w:val="1"/>
      </w:numPr>
      <w:outlineLvl w:val="1"/>
    </w:pPr>
    <w:rPr>
      <w:rFonts w:ascii="Arial" w:hAnsi="Arial" w:cs="Arial"/>
      <w:b/>
      <w:u w:val="single"/>
    </w:rPr>
  </w:style>
  <w:style w:type="paragraph" w:styleId="Heading3">
    <w:name w:val="heading 3"/>
    <w:basedOn w:val="Normal"/>
    <w:next w:val="Normal"/>
    <w:qFormat/>
    <w:pPr>
      <w:keepNext w:val="true"/>
      <w:numPr>
        <w:ilvl w:val="2"/>
        <w:numId w:val="1"/>
      </w:numPr>
      <w:outlineLvl w:val="2"/>
    </w:pPr>
    <w:rPr>
      <w:rFonts w:ascii="Arial" w:hAnsi="Arial" w:cs="Arial"/>
      <w:b/>
      <w:color w:val="000000"/>
      <w:sz w:val="22"/>
      <w:u w:val="single"/>
      <w:lang w:eastAsia="en-US"/>
    </w:rPr>
  </w:style>
  <w:style w:type="paragraph" w:styleId="Heading4">
    <w:name w:val="heading 4"/>
    <w:basedOn w:val="Normal"/>
    <w:next w:val="Normal"/>
    <w:qFormat/>
    <w:pPr>
      <w:keepNext w:val="true"/>
      <w:numPr>
        <w:ilvl w:val="3"/>
        <w:numId w:val="1"/>
      </w:numPr>
      <w:jc w:val="center"/>
      <w:outlineLvl w:val="3"/>
    </w:pPr>
    <w:rPr>
      <w:rFonts w:ascii="Arial" w:hAnsi="Arial" w:cs="Arial"/>
      <w:b/>
    </w:rPr>
  </w:style>
  <w:style w:type="paragraph" w:styleId="Heading5">
    <w:name w:val="heading 5"/>
    <w:basedOn w:val="Normal"/>
    <w:next w:val="Normal"/>
    <w:qFormat/>
    <w:pPr>
      <w:keepNext w:val="true"/>
      <w:numPr>
        <w:ilvl w:val="4"/>
        <w:numId w:val="1"/>
      </w:numPr>
      <w:ind w:firstLine="720" w:start="0" w:end="0"/>
      <w:outlineLvl w:val="4"/>
    </w:pPr>
    <w:rPr>
      <w:b/>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2001-02-27T22:29:00Z</dcterms:created>
  <dc:creator>EHildebrandt</dc:creator>
  <dc:description/>
  <dc:language>en-CA</dc:language>
  <cp:lastModifiedBy>EHildebrandt</cp:lastModifiedBy>
  <cp:lastPrinted>2001-02-27T16:46:00Z</cp:lastPrinted>
  <dcterms:modified xsi:type="dcterms:W3CDTF">2001-02-27T22:29:00Z</dcterms:modified>
  <cp:revision>2</cp:revision>
  <dc:subject/>
  <dc:title>Cost Reporting Guidelines  </dc:title>
</cp:coreProperties>
</file>