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2169160</wp:posOffset>
                </wp:positionH>
                <wp:positionV relativeFrom="paragraph">
                  <wp:posOffset>-116205</wp:posOffset>
                </wp:positionV>
                <wp:extent cx="4074795" cy="782955"/>
                <wp:effectExtent l="0" t="0" r="0" b="0"/>
                <wp:wrapNone/>
                <wp:docPr id="2" name="Frame1"/>
                <a:graphic xmlns:a="http://schemas.openxmlformats.org/drawingml/2006/main">
                  <a:graphicData uri="http://schemas.microsoft.com/office/word/2010/wordprocessingShape">
                    <wps:wsp>
                      <wps:cNvSpPr txBox="1"/>
                      <wps:spPr>
                        <a:xfrm>
                          <a:off x="0" y="0"/>
                          <a:ext cx="4074795" cy="782955"/>
                        </a:xfrm>
                        <a:prstGeom prst="rect"/>
                        <a:solidFill>
                          <a:srgbClr val="FFFFFF">
                            <a:alpha val="0"/>
                          </a:srgbClr>
                        </a:solidFill>
                        <a:ln w="25400">
                          <a:solidFill>
                            <a:srgbClr val="FFFFFF"/>
                          </a:solidFill>
                        </a:ln>
                      </wps:spPr>
                      <wps:txbx>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5pt;mso-wrap-distance-left:9.05pt;mso-wrap-distance-right:9.05pt;mso-wrap-distance-top:0pt;mso-wrap-distance-bottom:0pt;margin-top:-9.15pt;mso-position-vertical-relative:text;margin-left:170.8pt;mso-position-horizontal-relative:text">
                <v:fill opacity="0f"/>
                <v:textbox inset="0.0138888888888889in,0.0138888888888889in,0.0138888888888889in,0.0138888888888889in">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-4445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35pt" to="496.8pt,-0.35pt" stroked="t" o:allowincell="f" style="position:absolute">
                <v:stroke color="black" weight="25560" joinstyle="miter" endcap="flat"/>
                <v:fill o:detectmouseclick="t" on="false"/>
                <w10:wrap type="none"/>
              </v:line>
            </w:pict>
          </mc:Fallback>
        </mc:AlternateContent>
      </w:r>
    </w:p>
    <w:p>
      <w:pPr>
        <w:pStyle w:val="Normal"/>
        <w:tabs>
          <w:tab w:val="clear" w:pos="720"/>
          <w:tab w:val="right" w:pos="9900" w:leader="none"/>
        </w:tabs>
        <w:jc w:val="center"/>
        <w:rPr>
          <w:rFonts w:ascii="Antique Olive" w:hAnsi="Antique Olive" w:cs="Antique Olive"/>
          <w:b/>
          <w:sz w:val="22"/>
        </w:rPr>
      </w:pPr>
      <w:r>
        <w:rPr>
          <w:rFonts w:cs="Arial" w:ascii="Arial" w:hAnsi="Arial"/>
          <w:b/>
          <w:sz w:val="72"/>
        </w:rPr>
        <w:t>NP15/SP15</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NP15 &amp; SP15 Electricity Price Indexes are volume weighted averages of specifically defined bilateral, wholesale, physical transactions. Calculations for these indexes average together power transactions from NP15 for one index and SP15 for the other.  Both in California.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the NP15 &amp; SP15 delivery points,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0" w:author="Telerate" w:date="1997-04-03T17:24:00Z">
        <w:r>
          <w:rPr>
            <w:rFonts w:cs="Arial" w:ascii="Arial" w:hAnsi="Arial"/>
            <w:sz w:val="24"/>
          </w:rPr>
          <w:delText>m,</w:delText>
        </w:r>
      </w:del>
      <w:ins w:id="1" w:author="Telerate" w:date="1997-04-03T17:24:00Z">
        <w:r>
          <w:rPr>
            <w:rFonts w:cs="Arial" w:ascii="Arial" w:hAnsi="Arial"/>
            <w:sz w:val="22"/>
          </w:rPr>
          <w:t>.m.</w:t>
        </w:r>
      </w:ins>
      <w:r>
        <w:rPr>
          <w:rFonts w:cs="Arial" w:ascii="Arial" w:hAnsi="Arial"/>
          <w:sz w:val="22"/>
        </w:rPr>
        <w:t xml:space="preserve"> Pacific </w:t>
      </w:r>
      <w:del w:id="2" w:author="Telerate" w:date="1997-04-03T17:24:00Z">
        <w:r>
          <w:rPr>
            <w:rFonts w:cs="Arial" w:ascii="Arial" w:hAnsi="Arial"/>
            <w:sz w:val="24"/>
          </w:rPr>
          <w:delText>T</w:delText>
        </w:r>
      </w:del>
      <w:r>
        <w:rPr>
          <w:rFonts w:cs="Arial" w:ascii="Arial" w:hAnsi="Arial"/>
          <w:sz w:val="22"/>
        </w:rPr>
        <w:t>Time, on the day power is flowing for the firm indexes.  Although NP15 &amp; SP15 electricity indexes will be calculated for 365 days of the year, publication will occur only on business days. If a holiday falls during the week, data should be transmitted to Dow Jones on the first business day following a break.</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526030" cy="2972435"/>
                <wp:effectExtent l="0" t="0" r="0" b="0"/>
                <wp:wrapNone/>
                <wp:docPr id="4" name="Frame2"/>
                <a:graphic xmlns:a="http://schemas.openxmlformats.org/drawingml/2006/main">
                  <a:graphicData uri="http://schemas.microsoft.com/office/word/2010/wordprocessingShape">
                    <wps:wsp>
                      <wps:cNvSpPr txBox="1"/>
                      <wps:spPr>
                        <a:xfrm>
                          <a:off x="0" y="0"/>
                          <a:ext cx="2526030" cy="297243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98.75pt;height:234.1pt" filled="f" o:ole="">
                                  <v:imagedata r:id="rId4" o:title=""/>
                                </v:shape>
                                <o:OLEObject Type="Embed" ProgID="" ShapeID="ole_rId3" DrawAspect="Content" ObjectID="_476733253" r:id="rId3"/>
                              </w:object>
                            </w:r>
                          </w:p>
                        </w:txbxContent>
                      </wps:txbx>
                      <wps:bodyPr anchor="t" lIns="13335" tIns="13335" rIns="13335" bIns="13335">
                        <a:noAutofit/>
                      </wps:bodyPr>
                    </wps:wsp>
                  </a:graphicData>
                </a:graphic>
              </wp:anchor>
            </w:drawing>
          </mc:Choice>
          <mc:Fallback>
            <w:pict>
              <v:rect fillcolor="#FFFFFF" style="position:absolute;rotation:-0;width:198.9pt;height:234.0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98.75pt;height:234.1pt" filled="f" o:ole="">
                            <v:imagedata r:id="rId6" o:title=""/>
                          </v:shape>
                          <o:OLEObject Type="Embed" ProgID="" ShapeID="ole_rId5" DrawAspect="Content" ObjectID="_250427693" r:id="rId5"/>
                        </w:object>
                      </w:r>
                    </w:p>
                  </w:txbxContent>
                </v:textbox>
                <w10:wrap type="none"/>
              </v:rect>
            </w:pict>
          </mc:Fallback>
        </mc:AlternateContent>
      </w:r>
    </w:p>
    <w:p>
      <w:pPr>
        <w:pStyle w:val="Normal"/>
        <w:jc w:val="both"/>
        <w:rPr>
          <w:rFonts w:ascii="Antique Olive" w:hAnsi="Antique Olive" w:cs="Antique Olive"/>
          <w:sz w:val="44"/>
        </w:rPr>
      </w:pPr>
      <w:r>
        <w:rPr>
          <w:rFonts w:cs="Antique Olive" w:ascii="Antique Olive" w:hAnsi="Antique Olive"/>
          <w:sz w:val="44"/>
        </w:rPr>
      </w:r>
    </w:p>
    <w:tbl>
      <w:tblPr>
        <w:tblW w:w="9828" w:type="dxa"/>
        <w:jc w:val="start"/>
        <w:tblInd w:w="0" w:type="dxa"/>
        <w:tblLayout w:type="fixed"/>
        <w:tblCellMar>
          <w:top w:w="0" w:type="dxa"/>
          <w:start w:w="108" w:type="dxa"/>
          <w:bottom w:w="0" w:type="dxa"/>
          <w:end w:w="108" w:type="dxa"/>
        </w:tblCellMar>
      </w:tblPr>
      <w:tblGrid>
        <w:gridCol w:w="3078"/>
        <w:gridCol w:w="3780"/>
        <w:gridCol w:w="297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78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297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24"/>
        </w:rPr>
      </w:pPr>
      <w:r>
        <w:rPr>
          <w:rFonts w:cs="Antique Olive" w:ascii="Antique Olive" w:hAnsi="Antique Olive"/>
          <w:sz w:val="24"/>
        </w:rPr>
      </w:r>
    </w:p>
    <w:tbl>
      <w:tblPr>
        <w:tblW w:w="9828" w:type="dxa"/>
        <w:jc w:val="start"/>
        <w:tblInd w:w="0" w:type="dxa"/>
        <w:tblLayout w:type="fixed"/>
        <w:tblCellMar>
          <w:top w:w="0" w:type="dxa"/>
          <w:start w:w="108" w:type="dxa"/>
          <w:bottom w:w="0" w:type="dxa"/>
          <w:end w:w="108" w:type="dxa"/>
        </w:tblCellMar>
      </w:tblPr>
      <w:tblGrid>
        <w:gridCol w:w="1728"/>
        <w:gridCol w:w="1620"/>
        <w:gridCol w:w="1751"/>
        <w:gridCol w:w="1399"/>
        <w:gridCol w:w="2250"/>
        <w:gridCol w:w="1080"/>
      </w:tblGrid>
      <w:tr>
        <w:trPr/>
        <w:tc>
          <w:tcPr>
            <w:tcW w:w="172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6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p>
            <w:pPr>
              <w:pStyle w:val="Normal"/>
              <w:tabs>
                <w:tab w:val="clear" w:pos="720"/>
                <w:tab w:val="right" w:pos="9900" w:leader="none"/>
              </w:tabs>
              <w:jc w:val="center"/>
              <w:rPr>
                <w:rFonts w:ascii="Arial" w:hAnsi="Arial" w:cs="Arial"/>
                <w:sz w:val="24"/>
              </w:rPr>
            </w:pPr>
            <w:r>
              <w:rPr>
                <w:rFonts w:cs="Arial" w:ascii="Arial" w:hAnsi="Arial"/>
                <w:sz w:val="24"/>
              </w:rPr>
            </w:r>
          </w:p>
        </w:tc>
        <w:tc>
          <w:tcPr>
            <w:tcW w:w="1751"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399"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25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1080"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472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On-peak</w:t>
            </w:r>
          </w:p>
        </w:tc>
        <w:tc>
          <w:tcPr>
            <w:tcW w:w="472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24-Hour Firm</w:t>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rHeight w:val="154" w:hRule="atLeast"/>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to Dow Jones as total megawatts transacted per hour.</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Sunday and NERC Holidays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rHeight w:val="385" w:hRule="atLeast"/>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510"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Pacific Time,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2300 - 0600 (10 p.m. - 6 a.m.) Pacific Time,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meeting a minimum criteria of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t>
      </w:r>
    </w:p>
    <w:p>
      <w:pPr>
        <w:pStyle w:val="Normal"/>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Power conforming to any other measures of “firmness” should not be included in these indexes.</w:t>
      </w:r>
    </w:p>
    <w:p>
      <w:pPr>
        <w:pStyle w:val="Normal"/>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c>
          <w:tcPr>
            <w:tcW w:w="3528" w:type="dxa"/>
            <w:tcBorders/>
          </w:tcPr>
          <w:p>
            <w:pPr>
              <w:pStyle w:val="Normal"/>
              <w:tabs>
                <w:tab w:val="clear" w:pos="720"/>
                <w:tab w:val="right" w:pos="9900" w:leader="none"/>
              </w:tabs>
              <w:snapToGrid w:val="false"/>
              <w:rPr>
                <w:rFonts w:ascii="Arial" w:hAnsi="Arial" w:cs="Arial"/>
              </w:rPr>
            </w:pPr>
            <w:r>
              <w:rPr>
                <w:rFonts w:cs="Arial" w:ascii="Arial" w:hAnsi="Arial"/>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32"/>
              </w:rPr>
            </w:pPr>
            <w:r>
              <w:rPr>
                <w:rFonts w:cs="Arial" w:ascii="Arial" w:hAnsi="Arial"/>
                <w:b/>
                <w:sz w:val="28"/>
              </w:rPr>
              <w:t>INDEX DATES</w:t>
            </w:r>
          </w:p>
        </w:tc>
        <w:tc>
          <w:tcPr>
            <w:tcW w:w="3510" w:type="dxa"/>
            <w:tcBorders/>
          </w:tcPr>
          <w:p>
            <w:pPr>
              <w:pStyle w:val="Normal"/>
              <w:tabs>
                <w:tab w:val="clear" w:pos="720"/>
                <w:tab w:val="right" w:pos="9900" w:leader="none"/>
              </w:tabs>
              <w:snapToGrid w:val="false"/>
              <w:rPr>
                <w:rFonts w:ascii="Arial" w:hAnsi="Arial" w:cs="Arial"/>
                <w:sz w:val="32"/>
              </w:rPr>
            </w:pPr>
            <w:r>
              <w:rPr>
                <w:rFonts w:cs="Arial" w:ascii="Arial" w:hAnsi="Arial"/>
                <w:sz w:val="32"/>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79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10"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lang w:val="en-CA" w:eastAsia="en-CA"/>
        </w:rPr>
      </w:pPr>
      <w:r>
        <w:rPr>
          <w:rFonts w:cs="Arial" w:ascii="Arial" w:hAnsi="Arial"/>
          <w:sz w:val="22"/>
        </w:rPr>
        <w:t>The date on a daily index corresponds to the date the power is delivered. For example, Monday’s prescheduled transactions form Tuesday’s index.</w:t>
      </w:r>
    </w:p>
    <w:p>
      <w:pPr>
        <w:pStyle w:val="Normal"/>
        <w:ind w:firstLine="360" w:end="0"/>
        <w:jc w:val="both"/>
        <w:rPr>
          <w:rFonts w:ascii="Arial" w:hAnsi="Arial" w:cs="Arial"/>
          <w:sz w:val="22"/>
          <w:lang w:val="en-CA" w:eastAsia="en-CA"/>
        </w:rPr>
      </w:pPr>
      <w:r>
        <w:rPr>
          <w:rFonts w:cs="Arial" w:ascii="Arial" w:hAnsi="Arial"/>
          <w:sz w:val="22"/>
          <w:lang w:val="en-CA" w:eastAsia="en-CA"/>
        </w:rPr>
      </w:r>
    </w:p>
    <w:p>
      <w:pPr>
        <w:pStyle w:val="Normal"/>
        <w:numPr>
          <w:ilvl w:val="0"/>
          <w:numId w:val="2"/>
        </w:numPr>
        <w:jc w:val="both"/>
        <w:rPr>
          <w:rFonts w:ascii="Arial" w:hAnsi="Arial" w:cs="Arial"/>
          <w:b/>
          <w:sz w:val="22"/>
        </w:rPr>
      </w:pPr>
      <w:r>
        <w:rPr>
          <w:rFonts w:cs="Arial" w:ascii="Arial" w:hAnsi="Arial"/>
          <w:sz w:val="22"/>
        </w:rPr>
        <w:t xml:space="preserve">NP15 &amp; SP15 FIRM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b/>
          <w:sz w:val="22"/>
        </w:rPr>
      </w:pPr>
      <w:r>
        <w:rPr>
          <w:rFonts w:cs="Arial" w:ascii="Arial" w:hAnsi="Arial"/>
          <w:b/>
          <w:sz w:val="22"/>
        </w:rPr>
      </w:r>
    </w:p>
    <w:p>
      <w:pPr>
        <w:pStyle w:val="Normal"/>
        <w:numPr>
          <w:ilvl w:val="0"/>
          <w:numId w:val="2"/>
        </w:numPr>
        <w:jc w:val="both"/>
        <w:rPr>
          <w:rFonts w:ascii="Arial" w:hAnsi="Arial" w:cs="Arial"/>
          <w:sz w:val="22"/>
        </w:rPr>
      </w:pPr>
      <w:r>
        <w:rPr>
          <w:rFonts w:cs="Arial" w:ascii="Arial" w:hAnsi="Arial"/>
          <w:sz w:val="22"/>
        </w:rPr>
        <w:t>The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(609) 520-4663. </w:t>
      </w:r>
    </w:p>
    <w:p>
      <w:pPr>
        <w:pStyle w:val="Normal"/>
        <w:jc w:val="both"/>
        <w:rPr>
          <w:rFonts w:ascii="Arial" w:hAnsi="Arial" w:cs="Arial"/>
          <w:b/>
          <w:i/>
          <w:i/>
        </w:rPr>
      </w:pPr>
      <w:r>
        <w:rPr>
          <w:rFonts w:cs="Arial" w:ascii="Arial" w:hAnsi="Arial"/>
          <w:b/>
          <w:i/>
        </w:rPr>
      </w:r>
    </w:p>
    <w:p>
      <w:pPr>
        <w:pStyle w:val="Normal"/>
        <w:jc w:val="both"/>
        <w:rPr/>
      </w:pPr>
      <w:r>
        <w:rPr>
          <w:rFonts w:cs="Arial" w:ascii="Arial" w:hAnsi="Arial"/>
          <w:b/>
          <w:i/>
        </w:rPr>
        <w:t>If you have not received this sheet directly from the News Product Development index group, please check with us to insure that you are working with a current definition.</w:t>
      </w:r>
      <w:r>
        <w:rPr>
          <w:sz w:val="24"/>
        </w:rPr>
        <w:tab/>
      </w:r>
    </w:p>
    <w:sectPr>
      <w:footerReference w:type="default" r:id="rId7"/>
      <w:type w:val="nextPage"/>
      <w:pgSz w:w="12240" w:h="15840"/>
      <w:pgMar w:left="1296" w:right="1296"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170" w:leader="none"/>
      </w:tabs>
      <w:ind w:start="-54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/mnt/main-storage/datasets/enron-docs/doc/DJ_NP_SP.doc</w:t>
    </w:r>
    <w:r>
      <w:rPr>
        <w:sz w:val="18"/>
        <w:rFonts w:cs="Arial" w:ascii="Arial" w:hAnsi="Arial"/>
      </w:rPr>
      <w:fldChar w:fldCharType="end"/>
    </w:r>
    <w:r>
      <w:rPr>
        <w:rFonts w:cs="Arial" w:ascii="Arial" w:hAnsi="Arial"/>
        <w:sz w:val="18"/>
      </w:rPr>
      <w:tab/>
      <w:tab/>
    </w:r>
    <w:r>
      <w:rPr>
        <w:rFonts w:cs="Arial" w:ascii="Arial" w:hAnsi="Arial"/>
        <w:b/>
        <w:sz w:val="18"/>
      </w:rPr>
      <w:t>Revised 10/13/1999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4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2001-11-29T15:25:00Z</dcterms:created>
  <dc:creator>Telerate</dc:creator>
  <dc:description/>
  <dc:language>en-CA</dc:language>
  <cp:lastModifiedBy>Kate Symes</cp:lastModifiedBy>
  <cp:lastPrinted>2001-03-09T18:40:00Z</cp:lastPrinted>
  <dcterms:modified xsi:type="dcterms:W3CDTF">2001-11-29T15:25:00Z</dcterms:modified>
  <cp:revision>2</cp:revision>
  <dc:subject/>
  <dc:title>The Dow Jones Mid-Columbia Electricity Price Indexes</dc:title>
</cp:coreProperties>
</file>