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SETTLEMENT, RELEASE, AND, TERMINATION AGREEMENT</w:t>
      </w:r>
    </w:p>
    <w:p>
      <w:pPr>
        <w:pStyle w:val="Normal"/>
        <w:rPr>
          <w:sz w:val="22"/>
          <w:szCs w:val="22"/>
        </w:rPr>
      </w:pPr>
      <w:r>
        <w:rPr>
          <w:sz w:val="22"/>
          <w:szCs w:val="22"/>
        </w:rPr>
      </w:r>
    </w:p>
    <w:p>
      <w:pPr>
        <w:pStyle w:val="Normal"/>
        <w:rPr/>
      </w:pPr>
      <w:r>
        <w:rPr>
          <w:sz w:val="22"/>
          <w:szCs w:val="22"/>
        </w:rPr>
        <w:tab/>
        <w:t>This Settlement, Release, and Termination Agreement (this "</w:t>
      </w:r>
      <w:r>
        <w:rPr>
          <w:sz w:val="22"/>
          <w:szCs w:val="22"/>
          <w:u w:val="single"/>
        </w:rPr>
        <w:t>Agreement</w:t>
      </w:r>
      <w:r>
        <w:rPr>
          <w:sz w:val="22"/>
          <w:szCs w:val="22"/>
        </w:rPr>
        <w:t>") executed by Diamond Shamrock Refining Company L.P. ("</w:t>
      </w:r>
      <w:r>
        <w:rPr>
          <w:sz w:val="22"/>
          <w:szCs w:val="22"/>
          <w:u w:val="single"/>
        </w:rPr>
        <w:t>Diamond</w:t>
      </w:r>
      <w:r>
        <w:rPr>
          <w:sz w:val="22"/>
          <w:szCs w:val="22"/>
        </w:rPr>
        <w:t>") and HPL Resources Company ("</w:t>
      </w:r>
      <w:r>
        <w:rPr>
          <w:sz w:val="22"/>
          <w:szCs w:val="22"/>
          <w:u w:val="single"/>
        </w:rPr>
        <w:t>HPLR</w:t>
      </w:r>
      <w:r>
        <w:rPr>
          <w:sz w:val="22"/>
          <w:szCs w:val="22"/>
        </w:rPr>
        <w:t>") is effective as of the 20th day of December 2000 (the "</w:t>
      </w:r>
      <w:r>
        <w:rPr>
          <w:sz w:val="22"/>
          <w:szCs w:val="22"/>
          <w:u w:val="single"/>
        </w:rPr>
        <w:t>Effective Date</w:t>
      </w:r>
      <w:r>
        <w:rPr>
          <w:sz w:val="22"/>
          <w:szCs w:val="22"/>
        </w:rPr>
        <w:t>").</w:t>
      </w:r>
    </w:p>
    <w:p>
      <w:pPr>
        <w:pStyle w:val="Normal"/>
        <w:rPr>
          <w:sz w:val="22"/>
          <w:szCs w:val="22"/>
        </w:rPr>
      </w:pPr>
      <w:r>
        <w:rPr>
          <w:sz w:val="22"/>
          <w:szCs w:val="22"/>
        </w:rPr>
      </w:r>
    </w:p>
    <w:p>
      <w:pPr>
        <w:pStyle w:val="Normal"/>
        <w:tabs>
          <w:tab w:val="left" w:pos="720" w:leader="none"/>
        </w:tabs>
        <w:rPr/>
      </w:pPr>
      <w:r>
        <w:rPr>
          <w:sz w:val="22"/>
          <w:szCs w:val="22"/>
        </w:rPr>
        <w:tab/>
        <w:t>WHEREAS, Diamond and HPLR previously entered into that certain Product Sales and Fractionation Agreement effective as of April 1, 1995 (as same may have been amended and assigned from time to time, the "</w:t>
      </w:r>
      <w:r>
        <w:rPr>
          <w:sz w:val="22"/>
          <w:szCs w:val="22"/>
          <w:u w:val="single"/>
        </w:rPr>
        <w:t>Fractionation Agreement</w:t>
      </w:r>
      <w:r>
        <w:rPr>
          <w:sz w:val="22"/>
          <w:szCs w:val="22"/>
        </w:rPr>
        <w:t>").</w:t>
      </w:r>
    </w:p>
    <w:p>
      <w:pPr>
        <w:pStyle w:val="Normal"/>
        <w:tabs>
          <w:tab w:val="left" w:pos="720" w:leader="none"/>
        </w:tabs>
        <w:ind w:hanging="1440" w:start="1440" w:end="0"/>
        <w:rPr>
          <w:sz w:val="22"/>
          <w:szCs w:val="22"/>
        </w:rPr>
      </w:pPr>
      <w:r>
        <w:rPr>
          <w:sz w:val="22"/>
          <w:szCs w:val="22"/>
        </w:rPr>
      </w:r>
    </w:p>
    <w:p>
      <w:pPr>
        <w:pStyle w:val="Normal"/>
        <w:rPr/>
      </w:pPr>
      <w:r>
        <w:rPr>
          <w:sz w:val="22"/>
          <w:szCs w:val="22"/>
        </w:rPr>
        <w:tab/>
        <w:t>WHEREAS, Diamond and HPLR have reached agreement resolving certain claims concerning propane and inventory imbalances through and including October 31, 1999 and ethane inventory imbalances through and including October 31, 1999 (the "</w:t>
      </w:r>
      <w:r>
        <w:rPr>
          <w:sz w:val="22"/>
          <w:szCs w:val="22"/>
          <w:u w:val="single"/>
        </w:rPr>
        <w:t>Imbalances</w:t>
      </w:r>
      <w:r>
        <w:rPr>
          <w:sz w:val="22"/>
          <w:szCs w:val="22"/>
        </w:rPr>
        <w:t>") as set forth on the invoice attached hereto as Exhibit “A”.</w:t>
      </w:r>
    </w:p>
    <w:p>
      <w:pPr>
        <w:pStyle w:val="Normal"/>
        <w:rPr>
          <w:sz w:val="22"/>
          <w:szCs w:val="22"/>
        </w:rPr>
      </w:pPr>
      <w:r>
        <w:rPr>
          <w:sz w:val="22"/>
          <w:szCs w:val="22"/>
        </w:rPr>
      </w:r>
    </w:p>
    <w:p>
      <w:pPr>
        <w:pStyle w:val="Normal"/>
        <w:ind w:firstLine="720" w:end="0"/>
        <w:rPr>
          <w:sz w:val="22"/>
          <w:szCs w:val="22"/>
        </w:rPr>
      </w:pPr>
      <w:r>
        <w:rPr>
          <w:sz w:val="22"/>
          <w:szCs w:val="22"/>
        </w:rPr>
        <w:t>WHEREAS, Diamond and HPLR desire to fully release each other from all other claims under the Fractionation Agreement.</w:t>
      </w:r>
    </w:p>
    <w:p>
      <w:pPr>
        <w:pStyle w:val="Normal"/>
        <w:rPr>
          <w:sz w:val="22"/>
          <w:szCs w:val="22"/>
        </w:rPr>
      </w:pPr>
      <w:r>
        <w:rPr>
          <w:sz w:val="22"/>
          <w:szCs w:val="22"/>
        </w:rPr>
      </w:r>
    </w:p>
    <w:p>
      <w:pPr>
        <w:pStyle w:val="Normal"/>
        <w:rPr/>
      </w:pPr>
      <w:r>
        <w:rPr>
          <w:sz w:val="22"/>
          <w:szCs w:val="22"/>
        </w:rPr>
        <w:tab/>
        <w:t>NOW, THEREFORE, in consideration of the mutual promises and covenants herein contained and the payment of that certain sum of $670,462.40 by Diamond to HPLR (collectively, the "</w:t>
      </w:r>
      <w:r>
        <w:rPr>
          <w:sz w:val="22"/>
          <w:szCs w:val="22"/>
          <w:u w:val="single"/>
        </w:rPr>
        <w:t>Consideration</w:t>
      </w:r>
      <w:r>
        <w:rPr>
          <w:sz w:val="22"/>
          <w:szCs w:val="22"/>
        </w:rPr>
        <w:t>"), the receipt and sufficiency of which are hereby expressly acknowledged by Diamond and HPLR, the parties do hereby agree as follows:</w:t>
      </w:r>
    </w:p>
    <w:p>
      <w:pPr>
        <w:pStyle w:val="Normal"/>
        <w:rPr>
          <w:sz w:val="22"/>
          <w:szCs w:val="22"/>
        </w:rPr>
      </w:pPr>
      <w:r>
        <w:rPr>
          <w:sz w:val="22"/>
          <w:szCs w:val="22"/>
        </w:rPr>
      </w:r>
    </w:p>
    <w:p>
      <w:pPr>
        <w:pStyle w:val="Normal"/>
        <w:rPr/>
      </w:pPr>
      <w:r>
        <w:rPr>
          <w:sz w:val="22"/>
          <w:szCs w:val="22"/>
        </w:rPr>
        <w:t xml:space="preserve">1.  </w:t>
      </w:r>
      <w:r>
        <w:rPr>
          <w:b/>
          <w:bCs/>
          <w:sz w:val="22"/>
          <w:szCs w:val="22"/>
          <w:u w:val="single"/>
        </w:rPr>
        <w:t>Diamond’s Release</w:t>
      </w:r>
      <w:r>
        <w:rPr>
          <w:b/>
          <w:bCs/>
          <w:sz w:val="22"/>
          <w:szCs w:val="22"/>
        </w:rPr>
        <w:t>.</w:t>
      </w:r>
      <w:r>
        <w:rPr>
          <w:sz w:val="22"/>
          <w:szCs w:val="22"/>
        </w:rPr>
        <w:t xml:space="preserve">  Diamond does hereby FULLY AND FINALLY RELEASE, DISCHARGE and FOREVER ACQUIT HPLR, and its assigns, insurers, officers, directors, employees, agents and attorneys from any liability, obligation, claim or cause or right of action, known or unknown, foreseen or unforeseen, which has been or could have been asserted, arising out of or relating to the Fractionation Agreement including, without limitation, the Imbalances (the "</w:t>
      </w:r>
      <w:r>
        <w:rPr>
          <w:sz w:val="22"/>
          <w:szCs w:val="22"/>
          <w:u w:val="single"/>
        </w:rPr>
        <w:t>Claims</w:t>
      </w:r>
      <w:r>
        <w:rPr>
          <w:sz w:val="22"/>
          <w:szCs w:val="22"/>
        </w:rPr>
        <w:t>") and does hereby WAIVE any and all defaults by HPLR which may have occurred under the Fractionation Agreement related to the Claims.  For the same Consideration, Diamond represents that Diamond has neither assigned, pledged nor in any other manner sold or transferred any right, title, interest in any claim, demand or cause of action included within the Claims, and covenants not to sue, or otherwise complain of or proceed against HPLR upon any claim, demand or cause of action included within the Claims.  Furthermore, in determination of the Consideration, Diamond hereby represents and warrants that it has made known any and all Claims, of which Diamond has knowledge, that are related to the Fractionation Agreement.  This Agreement shall constitute a full and final release of all of the Claims against HPLR by Diamond.</w:t>
      </w:r>
    </w:p>
    <w:p>
      <w:pPr>
        <w:pStyle w:val="Normal"/>
        <w:rPr>
          <w:sz w:val="22"/>
          <w:szCs w:val="22"/>
        </w:rPr>
      </w:pPr>
      <w:r>
        <w:rPr>
          <w:sz w:val="22"/>
          <w:szCs w:val="22"/>
        </w:rPr>
      </w:r>
    </w:p>
    <w:p>
      <w:pPr>
        <w:pStyle w:val="Normal"/>
        <w:rPr/>
      </w:pPr>
      <w:r>
        <w:rPr>
          <w:sz w:val="22"/>
          <w:szCs w:val="22"/>
        </w:rPr>
        <w:t xml:space="preserve">2.  </w:t>
      </w:r>
      <w:r>
        <w:rPr>
          <w:b/>
          <w:bCs/>
          <w:sz w:val="22"/>
          <w:szCs w:val="22"/>
          <w:u w:val="single"/>
        </w:rPr>
        <w:t>HPLR’s Release</w:t>
      </w:r>
      <w:r>
        <w:rPr>
          <w:b/>
          <w:bCs/>
          <w:sz w:val="22"/>
          <w:szCs w:val="22"/>
        </w:rPr>
        <w:t>.</w:t>
      </w:r>
      <w:r>
        <w:rPr>
          <w:sz w:val="22"/>
          <w:szCs w:val="22"/>
        </w:rPr>
        <w:t xml:space="preserve">  HPLR does hereby FULLY AND FINALLY RELEASE, DISCHARGE and FOREVER ACQUIT Diamond, and its assigns, insurers, officers, directors, employees, agents and attorneys from any Claims, as defined in paragraph 1 above, and does hereby WAIVE any and all defaults by Diamond which may have occurred under the Fractionation Agreement related to the Claims.  For the same Consideration, HPLR represents that HPLR has neither assigned, pledged, nor in any manner sold or transferred any right, title, or interest in any claim, demand or cause of action included within the Claims, and covenants not to sue, or otherwise complain of or proceed against Diamond upon any claim, demand or cause of action included within the Claims.  Furthermore, in determination of the Consideration, HPLR hereby represents and warrants that it has made known any and all Claims, of which HPLR has knowledge, that are related to the Fractionation Agreement.   This Agreement shall constitute a full and final release of all of the Claims against Diamond by HPLR.</w:t>
      </w:r>
    </w:p>
    <w:p>
      <w:pPr>
        <w:pStyle w:val="Normal"/>
        <w:rPr>
          <w:sz w:val="22"/>
          <w:szCs w:val="22"/>
        </w:rPr>
      </w:pPr>
      <w:r>
        <w:rPr>
          <w:sz w:val="22"/>
          <w:szCs w:val="22"/>
        </w:rPr>
      </w:r>
    </w:p>
    <w:p>
      <w:pPr>
        <w:pStyle w:val="Normal"/>
        <w:rPr/>
      </w:pPr>
      <w:r>
        <w:rPr>
          <w:sz w:val="22"/>
          <w:szCs w:val="22"/>
        </w:rPr>
        <w:t xml:space="preserve">3. </w:t>
      </w:r>
      <w:r>
        <w:rPr>
          <w:b/>
          <w:bCs/>
          <w:sz w:val="22"/>
          <w:szCs w:val="22"/>
          <w:u w:val="single"/>
        </w:rPr>
        <w:t>Termination of Fractionation Agreement</w:t>
      </w:r>
      <w:r>
        <w:rPr>
          <w:b/>
          <w:bCs/>
          <w:sz w:val="22"/>
          <w:szCs w:val="22"/>
        </w:rPr>
        <w:t>.</w:t>
      </w:r>
      <w:r>
        <w:rPr>
          <w:sz w:val="22"/>
          <w:szCs w:val="22"/>
        </w:rPr>
        <w:t xml:space="preserve">  HPLR and Diamond hereby waive all notice requirements for termination of the Fractionation Agreement as set forth in Article IV of the Fractionation Agreement and HPLR and Diamond agree that the Fractionation Agreement shall be terminated on the Effective Date hereof.</w:t>
      </w:r>
    </w:p>
    <w:p>
      <w:pPr>
        <w:pStyle w:val="Normal"/>
        <w:rPr>
          <w:sz w:val="22"/>
          <w:szCs w:val="22"/>
        </w:rPr>
      </w:pPr>
      <w:r>
        <w:rPr>
          <w:sz w:val="22"/>
          <w:szCs w:val="22"/>
        </w:rPr>
      </w:r>
    </w:p>
    <w:p>
      <w:pPr>
        <w:pStyle w:val="Normal"/>
        <w:rPr/>
      </w:pPr>
      <w:r>
        <w:rPr>
          <w:sz w:val="22"/>
          <w:szCs w:val="22"/>
        </w:rPr>
        <w:t xml:space="preserve">4.  </w:t>
      </w:r>
      <w:r>
        <w:rPr>
          <w:b/>
          <w:bCs/>
          <w:sz w:val="22"/>
          <w:szCs w:val="22"/>
          <w:u w:val="single"/>
        </w:rPr>
        <w:t>Payment of Consideration</w:t>
      </w:r>
      <w:r>
        <w:rPr>
          <w:b/>
          <w:bCs/>
          <w:sz w:val="22"/>
          <w:szCs w:val="22"/>
        </w:rPr>
        <w:t xml:space="preserve">.  </w:t>
      </w:r>
      <w:r>
        <w:rPr>
          <w:sz w:val="22"/>
          <w:szCs w:val="22"/>
        </w:rPr>
        <w:t>Diamond agrees that contemporaneously with its execution of this Agreement, it shall pay to HPLR the amount of $670,462.40.</w:t>
      </w:r>
    </w:p>
    <w:p>
      <w:pPr>
        <w:pStyle w:val="Normal"/>
        <w:rPr>
          <w:sz w:val="22"/>
          <w:szCs w:val="22"/>
        </w:rPr>
      </w:pPr>
      <w:r>
        <w:rPr>
          <w:sz w:val="22"/>
          <w:szCs w:val="22"/>
        </w:rPr>
        <w:tab/>
      </w:r>
    </w:p>
    <w:p>
      <w:pPr>
        <w:pStyle w:val="Normal"/>
        <w:rPr/>
      </w:pPr>
      <w:r>
        <w:rPr>
          <w:sz w:val="22"/>
          <w:szCs w:val="22"/>
        </w:rPr>
        <w:t xml:space="preserve">5.  </w:t>
      </w:r>
      <w:r>
        <w:rPr>
          <w:b/>
          <w:bCs/>
          <w:sz w:val="22"/>
          <w:szCs w:val="22"/>
          <w:u w:val="single"/>
        </w:rPr>
        <w:t>Confidentiality</w:t>
      </w:r>
      <w:r>
        <w:rPr>
          <w:b/>
          <w:bCs/>
          <w:sz w:val="22"/>
          <w:szCs w:val="22"/>
        </w:rPr>
        <w:t>.</w:t>
      </w:r>
      <w:r>
        <w:rPr>
          <w:sz w:val="22"/>
          <w:szCs w:val="22"/>
        </w:rPr>
        <w:t xml:space="preserve">  Each of HPLR and Diamond shall not disclose the terms of this Agreement to any third party (other than the party's and its affiliates' employees, lenders, counsel or accountants who have agreed to keep such terms confidential) except in order to comply with any applicable law, order, rule or regulation.</w:t>
      </w:r>
    </w:p>
    <w:p>
      <w:pPr>
        <w:pStyle w:val="Normal"/>
        <w:rPr>
          <w:sz w:val="22"/>
          <w:szCs w:val="22"/>
        </w:rPr>
      </w:pPr>
      <w:r>
        <w:rPr>
          <w:sz w:val="22"/>
          <w:szCs w:val="22"/>
        </w:rPr>
      </w:r>
    </w:p>
    <w:p>
      <w:pPr>
        <w:pStyle w:val="Normal"/>
        <w:rPr/>
      </w:pPr>
      <w:r>
        <w:rPr>
          <w:sz w:val="22"/>
          <w:szCs w:val="22"/>
        </w:rPr>
        <w:t xml:space="preserve">6.  </w:t>
      </w:r>
      <w:r>
        <w:rPr>
          <w:b/>
          <w:bCs/>
          <w:sz w:val="22"/>
          <w:szCs w:val="22"/>
          <w:u w:val="single"/>
        </w:rPr>
        <w:t>Law</w:t>
      </w:r>
      <w:r>
        <w:rPr>
          <w:b/>
          <w:bCs/>
          <w:sz w:val="22"/>
          <w:szCs w:val="22"/>
        </w:rPr>
        <w:t>.</w:t>
      </w:r>
      <w:r>
        <w:rPr>
          <w:sz w:val="22"/>
          <w:szCs w:val="22"/>
        </w:rPr>
        <w:t xml:space="preserve">  This Agreement contains the entire agreement between HPLR and Diamond concerning the subject matter hereof and shall be governed by the laws of the State of Texas.  Any modifications concerning this Agreement shall be of no force or effect unless in writing, executed by the parties to be charged.</w:t>
      </w:r>
    </w:p>
    <w:p>
      <w:pPr>
        <w:pStyle w:val="Normal"/>
        <w:rPr>
          <w:sz w:val="22"/>
          <w:szCs w:val="22"/>
        </w:rPr>
      </w:pPr>
      <w:r>
        <w:rPr>
          <w:sz w:val="22"/>
          <w:szCs w:val="22"/>
        </w:rPr>
      </w:r>
    </w:p>
    <w:p>
      <w:pPr>
        <w:pStyle w:val="Normal"/>
        <w:rPr>
          <w:sz w:val="22"/>
          <w:szCs w:val="22"/>
        </w:rPr>
      </w:pPr>
      <w:r>
        <w:rPr>
          <w:sz w:val="22"/>
          <w:szCs w:val="22"/>
        </w:rPr>
        <w:tab/>
        <w:t>IN WITNESS WHEREOF, we have executed this Agreement in multiple originals effective as of the date set forth above.</w:t>
      </w:r>
    </w:p>
    <w:p>
      <w:pPr>
        <w:pStyle w:val="Normal"/>
        <w:rPr>
          <w:sz w:val="22"/>
          <w:szCs w:val="22"/>
        </w:rPr>
      </w:pPr>
      <w:r>
        <w:rPr>
          <w:sz w:val="22"/>
          <w:szCs w:val="22"/>
        </w:rPr>
      </w:r>
    </w:p>
    <w:p>
      <w:pPr>
        <w:pStyle w:val="Normal"/>
        <w:rPr>
          <w:sz w:val="22"/>
          <w:szCs w:val="22"/>
        </w:rPr>
      </w:pPr>
      <w:r>
        <w:rPr>
          <w:sz w:val="22"/>
          <w:szCs w:val="22"/>
        </w:rPr>
      </w:r>
    </w:p>
    <w:p>
      <w:pPr>
        <w:pStyle w:val="Normal"/>
        <w:tabs>
          <w:tab w:val="clear" w:pos="720"/>
          <w:tab w:val="left" w:pos="3600" w:leader="none"/>
        </w:tabs>
        <w:rPr>
          <w:b/>
          <w:bCs/>
          <w:sz w:val="22"/>
          <w:szCs w:val="22"/>
        </w:rPr>
      </w:pPr>
      <w:r>
        <w:rPr>
          <w:b/>
          <w:bCs/>
          <w:sz w:val="22"/>
          <w:szCs w:val="22"/>
        </w:rPr>
        <w:tab/>
        <w:t xml:space="preserve">DIAMOND SHAMROCK REFINING COMPANY L.P. </w:t>
      </w:r>
    </w:p>
    <w:p>
      <w:pPr>
        <w:pStyle w:val="Normal"/>
        <w:tabs>
          <w:tab w:val="clear" w:pos="720"/>
          <w:tab w:val="left" w:pos="3600" w:leader="none"/>
        </w:tabs>
        <w:rPr>
          <w:b/>
          <w:bCs/>
          <w:sz w:val="22"/>
          <w:szCs w:val="22"/>
        </w:rPr>
      </w:pPr>
      <w:r>
        <w:rPr>
          <w:b/>
          <w:bCs/>
          <w:sz w:val="22"/>
          <w:szCs w:val="22"/>
        </w:rPr>
        <w:tab/>
        <w:t xml:space="preserve">by: _________________________________ its general </w:t>
        <w:tab/>
        <w:t>partner</w:t>
      </w:r>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pPr>
      <w:r>
        <w:rPr>
          <w:sz w:val="22"/>
          <w:szCs w:val="22"/>
        </w:rPr>
        <w:tab/>
        <w:t>Title:</w:t>
      </w:r>
      <w:r>
        <w:rPr>
          <w:sz w:val="22"/>
          <w:szCs w:val="22"/>
          <w:u w:val="single"/>
        </w:rPr>
        <w:tab/>
        <w:tab/>
        <w:tab/>
        <w:tab/>
        <w:tab/>
        <w:tab/>
        <w:tab/>
      </w:r>
    </w:p>
    <w:p>
      <w:pPr>
        <w:pStyle w:val="Normal"/>
        <w:tabs>
          <w:tab w:val="clear" w:pos="720"/>
          <w:tab w:val="left" w:pos="3600" w:leader="none"/>
        </w:tabs>
        <w:rPr>
          <w:sz w:val="22"/>
          <w:szCs w:val="22"/>
          <w:u w:val="single"/>
        </w:rPr>
      </w:pPr>
      <w:r>
        <w:rPr>
          <w:sz w:val="22"/>
          <w:szCs w:val="22"/>
          <w:u w:val="single"/>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b/>
          <w:bCs/>
          <w:sz w:val="22"/>
          <w:szCs w:val="22"/>
        </w:rPr>
      </w:pPr>
      <w:r>
        <w:rPr>
          <w:b/>
          <w:bCs/>
          <w:sz w:val="22"/>
          <w:szCs w:val="22"/>
        </w:rPr>
        <w:tab/>
        <w:t>HPL RESOURCES COMPANY</w:t>
      </w:r>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sz w:val="22"/>
          <w:szCs w:val="22"/>
        </w:rPr>
      </w:pPr>
      <w:r>
        <w:rPr>
          <w:sz w:val="22"/>
          <w:szCs w:val="22"/>
        </w:rPr>
        <w:tab/>
        <w:t>Title:</w:t>
      </w:r>
      <w:r>
        <w:rPr>
          <w:sz w:val="22"/>
          <w:szCs w:val="22"/>
          <w:u w:val="single"/>
        </w:rPr>
        <w:tab/>
        <w:tab/>
        <w:tab/>
        <w:tab/>
        <w:tab/>
        <w:tab/>
        <w:tab/>
      </w:r>
    </w:p>
    <w:p>
      <w:pPr>
        <w:sectPr>
          <w:footerReference w:type="default" r:id="rId2"/>
          <w:type w:val="nextPage"/>
          <w:pgSz w:w="12240" w:h="15840"/>
          <w:pgMar w:left="1440" w:right="1440" w:gutter="0" w:header="0" w:top="1440" w:footer="720" w:bottom="1440"/>
          <w:pgNumType w:fmt="decimal"/>
          <w:formProt w:val="false"/>
          <w:textDirection w:val="lrTb"/>
        </w:sectPr>
        <w:pStyle w:val="Normal"/>
        <w:tabs>
          <w:tab w:val="clear" w:pos="720"/>
          <w:tab w:val="left" w:pos="3960" w:leader="none"/>
        </w:tabs>
        <w:rPr>
          <w:sz w:val="22"/>
          <w:szCs w:val="22"/>
          <w:u w:val="single"/>
        </w:rPr>
      </w:pPr>
      <w:r>
        <w:rPr>
          <w:sz w:val="22"/>
          <w:szCs w:val="22"/>
        </w:rPr>
        <w:tab/>
      </w:r>
    </w:p>
    <w:p>
      <w:pPr>
        <w:pStyle w:val="Heading1"/>
        <w:ind w:hanging="0" w:start="0"/>
        <w:rPr/>
      </w:pPr>
      <w:r>
        <w:rPr/>
        <w:t>EXHIBIT “A”</w:t>
      </w:r>
    </w:p>
    <w:p>
      <w:pPr>
        <w:pStyle w:val="Normal"/>
        <w:tabs>
          <w:tab w:val="clear" w:pos="720"/>
          <w:tab w:val="left" w:pos="3960" w:leader="none"/>
        </w:tabs>
        <w:jc w:val="center"/>
        <w:rPr>
          <w:b/>
          <w:bCs/>
          <w:sz w:val="22"/>
          <w:szCs w:val="22"/>
          <w:u w:val="single"/>
        </w:rPr>
      </w:pPr>
      <w:r>
        <w:rPr>
          <w:b/>
          <w:bCs/>
          <w:sz w:val="22"/>
          <w:szCs w:val="22"/>
          <w:u w:val="single"/>
        </w:rPr>
      </w:r>
    </w:p>
    <w:p>
      <w:pPr>
        <w:pStyle w:val="Heading2"/>
        <w:ind w:hanging="0" w:start="0"/>
        <w:rPr/>
      </w:pPr>
      <w:r>
        <w:rPr/>
        <w:t>INVOICE</w:t>
      </w:r>
    </w:p>
    <w:p>
      <w:pPr>
        <w:pStyle w:val="Normal"/>
        <w:rPr/>
      </w:pPr>
      <w:r>
        <w:rPr/>
      </w:r>
    </w:p>
    <w:tbl>
      <w:tblPr>
        <w:tblW w:w="11176" w:type="dxa"/>
        <w:jc w:val="start"/>
        <w:tblInd w:w="-900" w:type="dxa"/>
        <w:tblLayout w:type="fixed"/>
        <w:tblCellMar>
          <w:top w:w="0" w:type="dxa"/>
          <w:start w:w="0" w:type="dxa"/>
          <w:bottom w:w="0" w:type="dxa"/>
          <w:end w:w="0" w:type="dxa"/>
        </w:tblCellMar>
      </w:tblPr>
      <w:tblGrid>
        <w:gridCol w:w="594"/>
        <w:gridCol w:w="1312"/>
        <w:gridCol w:w="2099"/>
        <w:gridCol w:w="1168"/>
        <w:gridCol w:w="811"/>
        <w:gridCol w:w="242"/>
        <w:gridCol w:w="90"/>
        <w:gridCol w:w="2160"/>
        <w:gridCol w:w="180"/>
        <w:gridCol w:w="2520"/>
      </w:tblGrid>
      <w:tr>
        <w:trPr>
          <w:trHeight w:val="28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HPL Resources Company</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sz w:val="20"/>
                <w:szCs w:val="20"/>
              </w:rPr>
            </w:pPr>
            <w:r>
              <w:rPr>
                <w:rFonts w:eastAsia="Arial" w:cs="Arial" w:ascii="Arial" w:hAnsi="Arial"/>
                <w:sz w:val="20"/>
                <w:szCs w:val="20"/>
              </w:rPr>
              <w:t xml:space="preserve">Enron Building,   P.O. Box 1188,   Houston, Texas 77001   </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INVOICE</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To:</w:t>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Ultramar Diamond Shamrock</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Please Remit To:</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 O. Box 840308</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173"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Scott Schroeder</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Dallas, TX 75284-0308</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 O Box 696000</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San Antonio, TX  78269</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Invoice Date: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Invoice Number:</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color w:val="0000FF"/>
                <w:sz w:val="22"/>
                <w:szCs w:val="22"/>
              </w:rPr>
            </w:pPr>
            <w:r>
              <w:rPr>
                <w:color w:val="0000FF"/>
                <w:sz w:val="22"/>
                <w:szCs w:val="22"/>
              </w:rPr>
              <w:t>December 6, 2000</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0"/>
                <w:szCs w:val="20"/>
              </w:rPr>
            </w:pPr>
            <w:r>
              <w:rPr>
                <w:color w:val="0000FF"/>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jc w:val="center"/>
              <w:rPr>
                <w:sz w:val="20"/>
                <w:szCs w:val="20"/>
              </w:rPr>
            </w:pPr>
            <w:r>
              <w:rPr>
                <w:rFonts w:eastAsia="Arial" w:cs="Arial" w:ascii="Arial" w:hAnsi="Arial"/>
                <w:sz w:val="20"/>
                <w:szCs w:val="20"/>
              </w:rPr>
              <w:t>UDS1201Co78</w:t>
            </w:r>
          </w:p>
        </w:tc>
      </w:tr>
      <w:tr>
        <w:trPr>
          <w:trHeight w:val="270" w:hRule="atLeast"/>
        </w:trPr>
        <w:tc>
          <w:tcPr>
            <w:tcW w:w="594"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312"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099"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168"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811"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42"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9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16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8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520" w:type="dxa"/>
            <w:tcBorders>
              <w:top w:val="dashed" w:sz="6" w:space="0" w:color="auto"/>
              <w:start w:val="dashed" w:sz="6" w:space="0" w:color="auto"/>
              <w:bottom w:val="single" w:sz="6" w:space="0" w:color="000000"/>
              <w:end w:val="dashed" w:sz="6" w:space="0" w:color="auto"/>
            </w:tcBorders>
          </w:tcPr>
          <w:p>
            <w:pPr>
              <w:pStyle w:val="Normal"/>
              <w:jc w:val="center"/>
              <w:rPr>
                <w:sz w:val="20"/>
                <w:szCs w:val="20"/>
              </w:rPr>
            </w:pPr>
            <w:r>
              <w:rPr>
                <w:rFonts w:eastAsia="Arial" w:cs="Arial" w:ascii="Arial" w:hAnsi="Arial"/>
                <w:sz w:val="20"/>
                <w:szCs w:val="20"/>
              </w:rPr>
              <w:t>Revised</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7882" w:type="dxa"/>
            <w:gridSpan w:val="7"/>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Settlement of outtanding invoice balances relating to Houston Pipeline,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Three Rivers plant production.</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2"/>
                <w:szCs w:val="22"/>
              </w:rPr>
            </w:pPr>
            <w:r>
              <w:rPr>
                <w:color w:val="0000FF"/>
                <w:sz w:val="22"/>
                <w:szCs w:val="22"/>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0"/>
                <w:szCs w:val="20"/>
              </w:rPr>
            </w:pPr>
            <w:r>
              <w:rPr>
                <w:color w:val="0000FF"/>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Propane:</w:t>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Previous agreed through August,1999</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(546,062.36)</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6570" w:type="dxa"/>
            <w:gridSpan w:val="6"/>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For period September, 1997 through October, 1999</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(24,713.32)</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- 42,000 gal @ .4463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18,744.60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rPr>
                <w:sz w:val="22"/>
                <w:szCs w:val="22"/>
              </w:rPr>
            </w:pPr>
            <w:r>
              <w:rPr>
                <w:sz w:val="22"/>
                <w:szCs w:val="22"/>
              </w:rPr>
              <w:t>Ethane:</w:t>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Previous agreed through March 1998</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225,949.48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For period April, 1998 through October 1999</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905,983.22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6570" w:type="dxa"/>
            <w:gridSpan w:val="6"/>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Diamond Shamrock Three Rivers to Union Carbide: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2221"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256000 gal @ .3425143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87,683.66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- 8,400 gal @ .3425143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2,877.12 </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b/>
                <w:bCs/>
                <w:sz w:val="22"/>
                <w:szCs w:val="22"/>
              </w:rPr>
            </w:pPr>
            <w:r>
              <w:rPr>
                <w:b/>
                <w:bCs/>
                <w:sz w:val="22"/>
                <w:szCs w:val="22"/>
              </w:rPr>
              <w:t>TOTAL INVOICE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2520" w:type="dxa"/>
            <w:tcBorders>
              <w:top w:val="single" w:sz="6" w:space="0" w:color="000000"/>
              <w:start w:val="dashed" w:sz="6" w:space="0" w:color="auto"/>
              <w:bottom w:val="double" w:sz="6" w:space="0" w:color="000000"/>
              <w:end w:val="dashed" w:sz="6" w:space="0" w:color="auto"/>
            </w:tcBorders>
          </w:tcPr>
          <w:p>
            <w:pPr>
              <w:pStyle w:val="Normal"/>
              <w:rPr>
                <w:b/>
                <w:bCs/>
                <w:sz w:val="22"/>
                <w:szCs w:val="22"/>
              </w:rPr>
            </w:pPr>
            <w:r>
              <w:rPr>
                <w:b/>
                <w:bCs/>
                <w:sz w:val="22"/>
                <w:szCs w:val="22"/>
              </w:rPr>
              <w:t xml:space="preserve"> </w:t>
            </w:r>
            <w:r>
              <w:rPr>
                <w:b/>
                <w:bCs/>
                <w:sz w:val="22"/>
                <w:szCs w:val="22"/>
              </w:rPr>
              <w:t xml:space="preserve">$      670,462.40 </w:t>
            </w:r>
          </w:p>
        </w:tc>
      </w:tr>
      <w:tr>
        <w:trPr>
          <w:trHeight w:val="27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8476" w:type="dxa"/>
            <w:gridSpan w:val="8"/>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Questions regarding this invoice may be directed to Karry Kendall (713) 853-3320</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bl>
    <w:p>
      <w:pPr>
        <w:pStyle w:val="Normal"/>
        <w:rPr/>
      </w:pPr>
      <w:r>
        <w:rPr/>
      </w:r>
    </w:p>
    <w:sectPr>
      <w:footerReference w:type="default" r:id="rId3"/>
      <w:footerReference w:type="first" r:id="rId4"/>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Unicode MS">
    <w:charset w:val="8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Footer"/>
      <w:jc w:val="center"/>
      <w:rPr>
        <w:rStyle w:val="PageNumber"/>
      </w:rPr>
    </w:pPr>
    <w:r>
      <w:rPr/>
    </w:r>
  </w:p>
  <w:p>
    <w:pPr>
      <w:pStyle w:val="Footer"/>
      <w:rPr/>
    </w:pPr>
    <w:r>
      <w:rPr>
        <w:rStyle w:val="PageNumber"/>
        <w:sz w:val="16"/>
        <w:szCs w:val="16"/>
      </w:rPr>
      <w:t>sdaniel; process/</w:t>
    </w:r>
    <w:r>
      <w:rPr>
        <w:rStyle w:val="PageNumber"/>
        <w:sz w:val="14"/>
        <w:szCs w:val="14"/>
      </w:rPr>
      <w:fldChar w:fldCharType="begin"/>
    </w:r>
    <w:r>
      <w:rPr>
        <w:rStyle w:val="PageNumber"/>
        <w:sz w:val="14"/>
        <w:szCs w:val="14"/>
      </w:rPr>
      <w:instrText xml:space="preserve"> FILENAME </w:instrText>
    </w:r>
    <w:r>
      <w:rPr>
        <w:rStyle w:val="PageNumber"/>
        <w:sz w:val="14"/>
        <w:szCs w:val="14"/>
      </w:rPr>
      <w:fldChar w:fldCharType="separate"/>
    </w:r>
    <w:r>
      <w:rPr>
        <w:rStyle w:val="PageNumber"/>
        <w:sz w:val="14"/>
        <w:szCs w:val="14"/>
      </w:rPr>
      <w:t>DIAMOND_RELEASE2.doc</w:t>
    </w:r>
    <w:r>
      <w:rPr>
        <w:rStyle w:val="PageNumber"/>
        <w:sz w:val="14"/>
        <w:szCs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sz w:val="22"/>
      <w:szCs w:val="22"/>
      <w:u w:val="single"/>
    </w:rPr>
  </w:style>
  <w:style w:type="paragraph" w:styleId="Heading2">
    <w:name w:val="heading 2"/>
    <w:basedOn w:val="Normal"/>
    <w:next w:val="Normal"/>
    <w:qFormat/>
    <w:pPr>
      <w:keepNext w:val="true"/>
      <w:numPr>
        <w:ilvl w:val="1"/>
        <w:numId w:val="1"/>
      </w:numPr>
      <w:tabs>
        <w:tab w:val="clear" w:pos="720"/>
        <w:tab w:val="left" w:pos="3960" w:leader="none"/>
      </w:tabs>
      <w:jc w:val="center"/>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jc w:val="center"/>
    </w:pPr>
    <w:rPr>
      <w:b/>
      <w:bCs/>
      <w:sz w:val="22"/>
      <w:szCs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xl22">
    <w:name w:val="xl22"/>
    <w:basedOn w:val="Normal"/>
    <w:qFormat/>
    <w:pPr>
      <w:spacing w:before="100" w:after="100"/>
      <w:jc w:val="start"/>
    </w:pPr>
    <w:rPr>
      <w:b/>
      <w:bCs/>
      <w:sz w:val="22"/>
      <w:szCs w:val="22"/>
    </w:rPr>
  </w:style>
  <w:style w:type="paragraph" w:styleId="xl24">
    <w:name w:val="xl24"/>
    <w:basedOn w:val="Normal"/>
    <w:qFormat/>
    <w:pPr>
      <w:spacing w:before="100" w:after="100"/>
      <w:jc w:val="start"/>
    </w:pPr>
    <w:rPr>
      <w:color w:val="0000FF"/>
      <w:sz w:val="22"/>
      <w:szCs w:val="22"/>
    </w:rPr>
  </w:style>
  <w:style w:type="paragraph" w:styleId="xl25">
    <w:name w:val="xl25"/>
    <w:basedOn w:val="Normal"/>
    <w:qFormat/>
    <w:pPr>
      <w:spacing w:before="100" w:after="100"/>
      <w:jc w:val="center"/>
    </w:pPr>
    <w:rPr>
      <w:rFonts w:ascii="Arial Unicode MS" w:hAnsi="Arial Unicode MS" w:eastAsia="Arial Unicode MS" w:cs="Arial Unicode MS"/>
    </w:rPr>
  </w:style>
  <w:style w:type="paragraph" w:styleId="xl26">
    <w:name w:val="xl26"/>
    <w:basedOn w:val="Normal"/>
    <w:qFormat/>
    <w:pPr>
      <w:pBdr>
        <w:bottom w:val="single" w:sz="6" w:space="0" w:color="000000"/>
      </w:pBdr>
      <w:spacing w:before="100" w:after="100"/>
      <w:jc w:val="start"/>
    </w:pPr>
    <w:rPr>
      <w:rFonts w:ascii="Arial Unicode MS" w:hAnsi="Arial Unicode MS" w:eastAsia="Arial Unicode MS" w:cs="Arial Unicode MS"/>
    </w:rPr>
  </w:style>
  <w:style w:type="paragraph" w:styleId="xl27">
    <w:name w:val="xl27"/>
    <w:basedOn w:val="Normal"/>
    <w:qFormat/>
    <w:pPr>
      <w:pBdr>
        <w:bottom w:val="single" w:sz="6" w:space="0" w:color="000000"/>
      </w:pBdr>
      <w:spacing w:before="100" w:after="100"/>
      <w:jc w:val="center"/>
    </w:pPr>
    <w:rPr>
      <w:rFonts w:ascii="Arial Unicode MS" w:hAnsi="Arial Unicode MS" w:eastAsia="Arial Unicode MS" w:cs="Arial Unicode MS"/>
    </w:rPr>
  </w:style>
  <w:style w:type="paragraph" w:styleId="xl28">
    <w:name w:val="xl28"/>
    <w:basedOn w:val="Normal"/>
    <w:qFormat/>
    <w:pPr>
      <w:spacing w:before="100" w:after="100"/>
      <w:jc w:val="start"/>
    </w:pPr>
    <w:rPr>
      <w:color w:val="0000FF"/>
      <w:sz w:val="22"/>
      <w:szCs w:val="22"/>
    </w:rPr>
  </w:style>
  <w:style w:type="paragraph" w:styleId="xl31">
    <w:name w:val="xl31"/>
    <w:basedOn w:val="Normal"/>
    <w:qFormat/>
    <w:pPr>
      <w:spacing w:before="100" w:after="100"/>
      <w:jc w:val="start"/>
    </w:pPr>
    <w:rPr>
      <w:b/>
      <w:bCs/>
      <w:sz w:val="22"/>
      <w:szCs w:val="22"/>
    </w:rPr>
  </w:style>
  <w:style w:type="paragraph" w:styleId="xl32">
    <w:name w:val="xl32"/>
    <w:basedOn w:val="Normal"/>
    <w:qFormat/>
    <w:pPr>
      <w:spacing w:before="100" w:after="100"/>
      <w:jc w:val="start"/>
    </w:pPr>
    <w:rPr>
      <w:sz w:val="22"/>
      <w:szCs w:val="22"/>
    </w:rPr>
  </w:style>
  <w:style w:type="paragraph" w:styleId="xl33">
    <w:name w:val="xl33"/>
    <w:basedOn w:val="Normal"/>
    <w:qFormat/>
    <w:pPr>
      <w:pBdr>
        <w:top w:val="single" w:sz="6" w:space="0" w:color="000000"/>
        <w:bottom w:val="double" w:sz="6" w:space="0" w:color="000000"/>
      </w:pBdr>
      <w:spacing w:before="100" w:after="100"/>
      <w:jc w:val="start"/>
    </w:pPr>
    <w:rPr>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2000-12-20T14:45:00Z</dcterms:created>
  <dc:creator>ECT</dc:creator>
  <dc:description/>
  <dc:language>en-CA</dc:language>
  <cp:lastModifiedBy>gnemec</cp:lastModifiedBy>
  <cp:lastPrinted>2000-12-20T11:09:00Z</cp:lastPrinted>
  <dcterms:modified xsi:type="dcterms:W3CDTF">2000-12-20T14:45:00Z</dcterms:modified>
  <cp:revision>2</cp:revision>
  <dc:subject/>
  <dc:title>RELEASE AGREEMENT</dc:title>
</cp:coreProperties>
</file>