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521" w:type="dxa"/>
        <w:jc w:val="start"/>
        <w:tblInd w:w="0" w:type="dxa"/>
        <w:tblLayout w:type="fixed"/>
        <w:tblCellMar>
          <w:top w:w="0" w:type="dxa"/>
          <w:start w:w="108" w:type="dxa"/>
          <w:bottom w:w="0" w:type="dxa"/>
          <w:end w:w="108" w:type="dxa"/>
        </w:tblCellMar>
      </w:tblPr>
      <w:tblGrid>
        <w:gridCol w:w="2808"/>
        <w:gridCol w:w="3434"/>
        <w:gridCol w:w="2279"/>
      </w:tblGrid>
      <w:tr>
        <w:trPr>
          <w:trHeight w:val="630" w:hRule="atLeast"/>
        </w:trPr>
        <w:tc>
          <w:tcPr>
            <w:tcW w:w="2808" w:type="dxa"/>
            <w:tcBorders>
              <w:top w:val="dashed" w:sz="6" w:space="0" w:color="auto"/>
              <w:start w:val="dashed" w:sz="6" w:space="0" w:color="auto"/>
              <w:bottom w:val="dashed" w:sz="6" w:space="0" w:color="auto"/>
              <w:end w:val="dashed" w:sz="6" w:space="0" w:color="auto"/>
            </w:tcBorders>
          </w:tcPr>
          <w:p>
            <w:pPr>
              <w:pStyle w:val="Normal"/>
              <w:rPr>
                <w:rFonts w:ascii="Arial" w:hAnsi="Arial" w:eastAsia="Arial" w:cs="Arial"/>
              </w:rPr>
            </w:pPr>
            <w:r>
              <w:rPr>
                <w:rFonts w:eastAsia="Arial" w:cs="Arial" w:ascii="Arial" w:hAnsi="Arial"/>
                <w:sz w:val="20"/>
                <w:szCs w:val="20"/>
              </w:rPr>
              <w:drawing>
                <wp:inline distT="0" distB="0" distL="0" distR="0">
                  <wp:extent cx="1532890" cy="4171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532890" cy="417195"/>
                          </a:xfrm>
                          <a:prstGeom prst="rect">
                            <a:avLst/>
                          </a:prstGeom>
                          <a:noFill/>
                        </pic:spPr>
                      </pic:pic>
                    </a:graphicData>
                  </a:graphic>
                </wp:inline>
              </w:drawing>
            </w:r>
          </w:p>
        </w:tc>
        <w:tc>
          <w:tcPr>
            <w:tcW w:w="3434" w:type="dxa"/>
            <w:tcBorders>
              <w:top w:val="dashed" w:sz="6" w:space="0" w:color="auto"/>
              <w:start w:val="dashed" w:sz="6" w:space="0" w:color="auto"/>
              <w:bottom w:val="dashed" w:sz="6" w:space="0" w:color="auto"/>
              <w:end w:val="dashed" w:sz="6" w:space="0" w:color="auto"/>
            </w:tcBorders>
          </w:tcPr>
          <w:p>
            <w:pPr>
              <w:pStyle w:val="Normal"/>
              <w:snapToGrid w:val="false"/>
              <w:ind w:end="3852"/>
              <w:rPr>
                <w:rFonts w:ascii="Arial" w:hAnsi="Arial" w:eastAsia="Arial" w:cs="Arial"/>
              </w:rPr>
            </w:pPr>
            <w:r>
              <w:rPr>
                <w:rFonts w:eastAsia="Arial" w:cs="Arial" w:ascii="Arial" w:hAnsi="Arial"/>
              </w:rPr>
            </w:r>
          </w:p>
        </w:tc>
        <w:tc>
          <w:tcPr>
            <w:tcW w:w="2279" w:type="dxa"/>
            <w:tcBorders>
              <w:top w:val="dashed" w:sz="6" w:space="0" w:color="auto"/>
              <w:start w:val="dashed" w:sz="6" w:space="0" w:color="auto"/>
              <w:bottom w:val="dashed" w:sz="6" w:space="0" w:color="auto"/>
              <w:end w:val="dashed" w:sz="6" w:space="0" w:color="auto"/>
            </w:tcBorders>
          </w:tcPr>
          <w:p>
            <w:pPr>
              <w:pStyle w:val="Header"/>
              <w:snapToGrid w:val="false"/>
              <w:spacing w:before="600" w:after="0"/>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tc>
      </w:tr>
    </w:tbl>
    <w:p>
      <w:pPr>
        <w:pStyle w:val="BodyText"/>
        <w:spacing w:before="0" w:after="720"/>
        <w:rPr/>
      </w:pPr>
      <w:r>
        <w:rPr>
          <w:rStyle w:val="LetterDate"/>
          <w:lang w:val="en-CA"/>
        </w:rPr>
        <w:t>August 30, 2001</w:t>
      </w:r>
    </w:p>
    <w:p>
      <w:pPr>
        <w:pStyle w:val="BodyText"/>
        <w:spacing w:before="0" w:after="100"/>
        <w:rPr/>
      </w:pPr>
      <w:r>
        <w:rPr/>
        <w:t>VIA E-MAIL and U.S. MAIL</w:t>
      </w:r>
    </w:p>
    <w:p>
      <w:pPr>
        <w:pStyle w:val="BodyText"/>
        <w:spacing w:before="0" w:after="100"/>
        <w:rPr/>
      </w:pPr>
      <w:r>
        <w:rPr/>
      </w:r>
    </w:p>
    <w:p>
      <w:pPr>
        <w:pStyle w:val="BodyText"/>
        <w:rPr/>
      </w:pPr>
      <w:r>
        <w:rPr/>
        <w:t>Diann Huddleson</w:t>
      </w:r>
    </w:p>
    <w:p>
      <w:pPr>
        <w:pStyle w:val="BodyText"/>
        <w:rPr/>
      </w:pPr>
      <w:r>
        <w:rPr/>
        <w:t>Enron Energy Services</w:t>
      </w:r>
    </w:p>
    <w:p>
      <w:pPr>
        <w:pStyle w:val="Address"/>
        <w:rPr/>
      </w:pPr>
      <w:r>
        <w:rPr/>
        <w:t>1400 Smith Street</w:t>
      </w:r>
    </w:p>
    <w:p>
      <w:pPr>
        <w:pStyle w:val="Normal"/>
        <w:rPr>
          <w:color w:val="000000"/>
        </w:rPr>
      </w:pPr>
      <w:r>
        <w:rPr>
          <w:color w:val="000000"/>
        </w:rPr>
        <w:t>Houston, TX  77002</w:t>
      </w:r>
    </w:p>
    <w:p>
      <w:pPr>
        <w:pStyle w:val="ReLine"/>
        <w:rPr/>
      </w:pPr>
      <w:r>
        <w:rPr/>
        <w:t>Re:</w:t>
        <w:tab/>
        <w:t>Unpaid PG&amp;E Charges Under ESP-consolidated Billing</w:t>
      </w:r>
    </w:p>
    <w:p>
      <w:pPr>
        <w:pStyle w:val="Normal"/>
        <w:rPr/>
      </w:pPr>
      <w:r>
        <w:rPr/>
        <w:t>Dear Ms. Huddleson:</w:t>
      </w:r>
    </w:p>
    <w:p>
      <w:pPr>
        <w:pStyle w:val="Normal"/>
        <w:rPr/>
      </w:pPr>
      <w:r>
        <w:rPr/>
      </w:r>
    </w:p>
    <w:p>
      <w:pPr>
        <w:pStyle w:val="BodyText"/>
        <w:rPr/>
      </w:pPr>
      <w:r>
        <w:rPr/>
        <w:t>This letter confirms recent conversations between Enron and Pacific Gas and Electric Company (PG&amp;E), and responds to Enron’s stated intention not to reimburse PG&amp;E for amounts owed on direct access accounts currently under ESP-consolidated billing.</w:t>
      </w:r>
      <w:r>
        <w:rPr>
          <w:rStyle w:val="FootnoteCharacters"/>
          <w:rStyle w:val="FootnoteReference"/>
        </w:rPr>
        <w:footnoteReference w:id="2"/>
      </w:r>
      <w:r>
        <w:rPr/>
        <w:t xml:space="preserve">  This letter also explains what actions PG&amp;E shall take if this matter is not promptly corrected by Enron.</w:t>
      </w:r>
    </w:p>
    <w:p>
      <w:pPr>
        <w:pStyle w:val="Normal"/>
        <w:rPr/>
      </w:pPr>
      <w:r>
        <w:rPr/>
      </w:r>
    </w:p>
    <w:p>
      <w:pPr>
        <w:pStyle w:val="Normal"/>
        <w:rPr>
          <w:b/>
          <w:bCs/>
        </w:rPr>
      </w:pPr>
      <w:r>
        <w:rPr>
          <w:b/>
          <w:bCs/>
        </w:rPr>
        <w:t>Background</w:t>
      </w:r>
    </w:p>
    <w:p>
      <w:pPr>
        <w:pStyle w:val="Normal"/>
        <w:rPr>
          <w:b/>
          <w:bCs/>
        </w:rPr>
      </w:pPr>
      <w:r>
        <w:rPr>
          <w:b/>
          <w:bCs/>
        </w:rPr>
      </w:r>
    </w:p>
    <w:p>
      <w:pPr>
        <w:pStyle w:val="Normal"/>
        <w:rPr/>
      </w:pPr>
      <w:r>
        <w:rPr/>
        <w:t>As you are aware, for varying lengths of time up until February 1, 2001, the accounts for which Enron has withheld payments to PG&amp;E were direct access accounts under ESP-consolidated billing.  On December 4, 2000, Enron Energy Services’ Vice President, Dennis Benevides formally requested that the Competition Transition Charge (CTC) credits that may have been otherwise owed to the customers on these direct access accounts be paid, instead, to Enron.  To have this done, Enron attested that it would forward such credits to the customers to the extent that Enron’s customers had not assigned the right to such credits to Enron.  Subsequently, for various legal and financial reasons associated with the California Energy Crisis, PG&amp;E believed it was not obligated to remit payment to Enron for such credits.</w:t>
      </w:r>
    </w:p>
    <w:p>
      <w:pPr>
        <w:pStyle w:val="Normal"/>
        <w:rPr/>
      </w:pPr>
      <w:r>
        <w:rPr/>
      </w:r>
    </w:p>
    <w:p>
      <w:pPr>
        <w:pStyle w:val="Normal"/>
        <w:rPr/>
      </w:pPr>
      <w:r>
        <w:rPr/>
        <w:t xml:space="preserve">On January 19, 2001, Enron filed a complaint against PG&amp;E with the California Public Utilities Commission (Case No. 01-01-032), alleging that "[a]t all times. . .Defendant has owed to Complainants the dollar amount which equates with the accumulated level of negative charges" (page 7) and seeking an "order requiring Defendant to remit payment to Complainants for an amount which equates to all negative charges, with associated interest, which is due an owing on the date of a Commission decision on this Complaint" (page 8).  On March 1, 2001, PG&amp;E filed its answer to the Complaint.  The case is stayed by operation of federal bankruptcy law.  </w:t>
      </w:r>
    </w:p>
    <w:p>
      <w:pPr>
        <w:pStyle w:val="Normal"/>
        <w:rPr/>
      </w:pPr>
      <w:r>
        <w:rPr/>
      </w:r>
    </w:p>
    <w:p>
      <w:pPr>
        <w:pStyle w:val="Normal"/>
        <w:rPr/>
      </w:pPr>
      <w:r>
        <w:rPr/>
        <w:t xml:space="preserve">In late January 2001, Enron notified PG&amp;E that Enron would be returning these direct access accounts to PG&amp;E bundled service, effective February 1, 2001.  On February 1, 2001, PG&amp;E returned these accounts to PG&amp;E-bundled service and, in doing so, transferred any accumulated CTC credits on the customers’ accounts to an account potentially owing to Enron.  This process was consistent with that requested in Mr. Benevides' December 4, 2001 letter, which specifically requested the payment to Enron of "any additional negative charges that may become payable in the future."  </w:t>
      </w:r>
    </w:p>
    <w:p>
      <w:pPr>
        <w:pStyle w:val="Normal"/>
        <w:rPr/>
      </w:pPr>
      <w:r>
        <w:rPr/>
      </w:r>
    </w:p>
    <w:p>
      <w:pPr>
        <w:pStyle w:val="Normal"/>
        <w:rPr/>
      </w:pPr>
      <w:r>
        <w:rPr/>
        <w:t>On April 6, 2001, PG&amp;E filed for Chapter 11 reorganization in U.S. Bankruptcy Court. Accordingly, PG&amp;E listed all unpaid CTC credits pertaining to these accounts on its Schedule F as amounts potentially owed to Enron.  As you may be aware, if Enron disagrees with the amount or characterization of its claim as set forth on Schedule F,  it must file a proof of claim prior to the claims bar date of September 5, 2001 in order to preserve its claim.</w:t>
      </w:r>
    </w:p>
    <w:p>
      <w:pPr>
        <w:pStyle w:val="Normal"/>
        <w:rPr/>
      </w:pPr>
      <w:r>
        <w:rPr/>
      </w:r>
    </w:p>
    <w:p>
      <w:pPr>
        <w:pStyle w:val="Normal"/>
        <w:rPr>
          <w:b/>
          <w:bCs/>
        </w:rPr>
      </w:pPr>
      <w:r>
        <w:rPr>
          <w:b/>
          <w:bCs/>
        </w:rPr>
        <w:t>The Current Dispute</w:t>
      </w:r>
    </w:p>
    <w:p>
      <w:pPr>
        <w:pStyle w:val="Normal"/>
        <w:rPr>
          <w:b/>
          <w:bCs/>
        </w:rPr>
      </w:pPr>
      <w:r>
        <w:rPr>
          <w:b/>
          <w:bCs/>
        </w:rPr>
      </w:r>
    </w:p>
    <w:p>
      <w:pPr>
        <w:pStyle w:val="Normal"/>
        <w:rPr/>
      </w:pPr>
      <w:r>
        <w:rPr/>
        <w:t>Beginning in late June 2001, Enron submitted direct access service requests (DASRs), returning the customers at issue to direct access service under ESP-consolidated billing.  Under ESP-consolidated billing, Enron is obligated to bill the direct access customers for PG&amp;E’s charges and, similarly, Enron is obligated to pay PG&amp;E for all such undisputed charges.  PG&amp;E’s Electric Tariff Rule 22 requires Enron to pay PG&amp;E for its charges, regardless of whether or not the customer pays Enron.  (Rule 22.K.3.a.3.c. and Rule 22.L.2.b.)</w:t>
      </w:r>
    </w:p>
    <w:p>
      <w:pPr>
        <w:pStyle w:val="Normal"/>
        <w:rPr/>
      </w:pPr>
      <w:r>
        <w:rPr/>
      </w:r>
    </w:p>
    <w:p>
      <w:pPr>
        <w:pStyle w:val="Normal"/>
        <w:rPr/>
      </w:pPr>
      <w:r>
        <w:rPr/>
        <w:t>On August 20, 2001, Enron notified PG&amp;E that it was withholding payment of PG&amp;E’s charges.  In withholding payment, Enron has cited Rule 10A and Rule 22, “disputing that any charges are properly due and owing on these accounts [because] [e]ach of these accounts has a credit balance.”  (August 20, 2001 email from you to Calvin Yee, PG&amp;E.)  Enron’s invocation of the dispute provisions of Rules 10 and 22 is specious.</w:t>
      </w:r>
      <w:r>
        <w:rPr>
          <w:rStyle w:val="FootnoteCharacters"/>
          <w:rStyle w:val="FootnoteReference"/>
        </w:rPr>
        <w:footnoteReference w:id="3"/>
      </w:r>
      <w:r>
        <w:rPr/>
        <w:t xml:space="preserve">  The dispute provisions have no applicability where, as here, Enron does not dispute the validity of PG&amp;E’s charges.  (Indeed, Enron’s own spreadsheet, included with the August 20 email, shows undisputed amounts owing to PG&amp;E for all such accounts.)  Rather, Enron claims that nothing is owed to PG&amp;E because of a “credit balance” that could only result if the CTC credits that were accumulated prior to the filing of PG&amp;E’s Bankruptcy Court petition - and that were listed as potentially owed to Enron on PG&amp;E’s Schedule F in the Bankruptcy Court proceeding - were used to offset the current amounts owed on these accounts.</w:t>
      </w:r>
    </w:p>
    <w:p>
      <w:pPr>
        <w:pStyle w:val="Normal"/>
        <w:rPr/>
      </w:pPr>
      <w:r>
        <w:rPr/>
      </w:r>
    </w:p>
    <w:p>
      <w:pPr>
        <w:pStyle w:val="Normal"/>
        <w:rPr/>
      </w:pPr>
      <w:r>
        <w:rPr/>
        <w:t>Enron’s attempt to withhold amounts currently owed to PG&amp;E is untenable.  Notwithstanding the other shortcomings of Enron’s position, Enron’s position is in violation of federal bankruptcy law.  Specifically, Enron’s attempt to setoff current amounts owed by pre-petition debts is a violation of the automatic stay in PG&amp;E’s bankruptcy case pursuant to 11 U.S.C. § 362(a)(7).  Pursuant to Section 362(a)(7), commencing a case under the Bankruptcy Code “operates as a stay, applicable to all entities of . . . the setoff of any debt owing to the debtor that arose before the commencement of the case under this title against any claim against the debtor.”   Accordingly, Enron’s attempt to withhold current amounts owed to PG&amp;E is illegal.  Enron must immediately remit payment for any such past due amounts.</w:t>
      </w:r>
    </w:p>
    <w:p>
      <w:pPr>
        <w:pStyle w:val="Normal"/>
        <w:rPr/>
      </w:pPr>
      <w:r>
        <w:rPr/>
      </w:r>
    </w:p>
    <w:p>
      <w:pPr>
        <w:pStyle w:val="Normal"/>
        <w:rPr>
          <w:b/>
          <w:bCs/>
        </w:rPr>
      </w:pPr>
      <w:r>
        <w:rPr>
          <w:b/>
          <w:bCs/>
        </w:rPr>
        <w:t>Next Steps</w:t>
      </w:r>
    </w:p>
    <w:p>
      <w:pPr>
        <w:pStyle w:val="Normal"/>
        <w:rPr>
          <w:b/>
          <w:bCs/>
        </w:rPr>
      </w:pPr>
      <w:r>
        <w:rPr>
          <w:b/>
          <w:bCs/>
        </w:rPr>
      </w:r>
    </w:p>
    <w:p>
      <w:pPr>
        <w:pStyle w:val="Normal"/>
        <w:rPr/>
      </w:pPr>
      <w:r>
        <w:rPr/>
        <w:t>As accounts become past due, PG&amp;E will continue to provide the requisite two (2) day notifications to Enron of its failure to comply with its payment obligations to PG&amp;E under ESP-consolidated billing.  (Rule 22.N.4.b.)  Under Rule 22, Enron must pay PG&amp;E the outstanding amounts owed within seven (7) days of the due date of such amounts.  (Id.)  If this 7-day period lapses and Enron has failed to pay outstanding amounts, in addition to pursuing its claims against Enron for amounts due, then PG&amp;E will terminate ESP-consolidated billing for such accounts and initiate dual billing according to the time schedule set forth in Rule 22.N.4.b.</w:t>
      </w:r>
    </w:p>
    <w:p>
      <w:pPr>
        <w:pStyle w:val="Normal"/>
        <w:rPr/>
      </w:pPr>
      <w:r>
        <w:rPr/>
      </w:r>
    </w:p>
    <w:p>
      <w:pPr>
        <w:pStyle w:val="Normal"/>
        <w:rPr/>
      </w:pPr>
      <w:r>
        <w:rPr/>
        <w:t xml:space="preserve">In addition, PG&amp;E is seeking written confirmation from Enron that it will not attempt to withhold such future amounts owed to PG&amp;E.  Absent such a written commitment against future breaches, PG&amp;E will no longer process pending or future DASRs from Enron that seek to perform ESP-consolidated billing.  (See Rule 22.D.5. and Rule 22.N.4.e.)  Rather, such pending or future DASRs will be processed (to the degree otherwise appropriate) as dual billed accounts.   </w:t>
      </w:r>
    </w:p>
    <w:p>
      <w:pPr>
        <w:pStyle w:val="Normal"/>
        <w:rPr/>
      </w:pPr>
      <w:r>
        <w:rPr/>
      </w:r>
    </w:p>
    <w:p>
      <w:pPr>
        <w:pStyle w:val="Normal"/>
        <w:rPr/>
      </w:pPr>
      <w:r>
        <w:rPr/>
        <w:t>We look forward to your prompt remittance of current amounts owed and to your commitment against future breaches of Rule 22 and your ESP Service Agreement with PG&amp;E.</w:t>
      </w:r>
    </w:p>
    <w:p>
      <w:pPr>
        <w:pStyle w:val="Normal"/>
        <w:rPr/>
      </w:pPr>
      <w:r>
        <w:rPr/>
      </w:r>
    </w:p>
    <w:p>
      <w:pPr>
        <w:pStyle w:val="Normal"/>
        <w:rPr/>
      </w:pPr>
      <w:r>
        <w:rPr/>
        <w:t>Yours very truly,</w:t>
      </w:r>
    </w:p>
    <w:p>
      <w:pPr>
        <w:pStyle w:val="Normal"/>
        <w:rPr/>
      </w:pPr>
      <w:r>
        <w:rPr/>
      </w:r>
    </w:p>
    <w:p>
      <w:pPr>
        <w:pStyle w:val="Normal"/>
        <w:rPr/>
      </w:pPr>
      <w:r>
        <w:rPr/>
      </w:r>
    </w:p>
    <w:p>
      <w:pPr>
        <w:pStyle w:val="Normal"/>
        <w:rPr/>
      </w:pPr>
      <w:r>
        <w:rPr/>
        <w:t>Michael A. Alexander</w:t>
      </w:r>
    </w:p>
    <w:p>
      <w:pPr>
        <w:pStyle w:val="Normal"/>
        <w:rPr/>
      </w:pPr>
      <w:r>
        <w:rPr/>
        <w:t>Manager, ESP Services</w:t>
      </w:r>
    </w:p>
    <w:p>
      <w:pPr>
        <w:pStyle w:val="Normal"/>
        <w:rPr/>
      </w:pPr>
      <w:r>
        <w:rPr/>
      </w:r>
    </w:p>
    <w:p>
      <w:pPr>
        <w:pStyle w:val="Normal"/>
        <w:rPr/>
      </w:pPr>
      <w:r>
        <w:rPr/>
        <w:t>cc:</w:t>
        <w:tab/>
        <w:t>Steven Frank</w:t>
      </w:r>
    </w:p>
    <w:p>
      <w:pPr>
        <w:pStyle w:val="Normal"/>
        <w:rPr/>
      </w:pPr>
      <w:r>
        <w:rPr/>
        <w:tab/>
        <w:t>Calvin Yee</w:t>
      </w:r>
    </w:p>
    <w:sectPr>
      <w:headerReference w:type="default" r:id="rId3"/>
      <w:headerReference w:type="first" r:id="rId4"/>
      <w:footnotePr>
        <w:numFmt w:val="decimal"/>
      </w:footnotePr>
      <w:type w:val="nextPage"/>
      <w:pgSz w:w="12240" w:h="15840"/>
      <w:pgMar w:left="2160" w:right="1440" w:gutter="0" w:header="1440" w:top="1496"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446" w:start="446" w:end="0"/>
        <w:rPr/>
      </w:pPr>
      <w:r>
        <w:rPr>
          <w:rStyle w:val="FootnoteCharacters"/>
        </w:rPr>
        <w:footnoteRef/>
      </w:r>
      <w:r>
        <w:rPr/>
        <w:t xml:space="preserve"> </w:t>
      </w:r>
      <w:r>
        <w:rPr/>
        <w:tab/>
        <w:t>The accounts at issue were identified in a spreadsheet emailed by you to PG&amp;E on August 20, 2001.</w:t>
      </w:r>
    </w:p>
  </w:footnote>
  <w:footnote w:id="3">
    <w:p>
      <w:pPr>
        <w:pStyle w:val="FootnoteText"/>
        <w:spacing w:before="0" w:after="120"/>
        <w:ind w:hanging="446" w:start="446" w:end="0"/>
        <w:rPr/>
      </w:pPr>
      <w:r>
        <w:rPr>
          <w:rStyle w:val="FootnoteCharacters"/>
        </w:rPr>
        <w:footnoteRef/>
      </w:r>
      <w:r>
        <w:rPr/>
        <w:t xml:space="preserve"> </w:t>
      </w:r>
      <w:r>
        <w:rPr/>
        <w:tab/>
        <w:t>Even if a bona fide dispute existed, neither Rule 10 nor Rule 22 permit withholding of payment.  After receipt of Enron's August 20, 2001 email, PG&amp;E notified Enron that the amounts at question were indeed owed to PG&amp;E.  However, Enron has not followed the procedural requirements of Rules 10 and 22, including, but not limited to the posting of disputed amounts with the Commission. (Rule 10.B.2.b. and Rule 22.L.2.f.)  Failure to submit a dispute with the Commission in accordance with these procedures warrants discontinuation of service.  (Rule 10.B.2.f.)</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Diann Huddleson</w:t>
    </w:r>
  </w:p>
  <w:p>
    <w:pPr>
      <w:pStyle w:val="Header"/>
      <w:rPr/>
    </w:pPr>
    <w:r>
      <w:rPr/>
      <w:t xml:space="preserve">Page </w:t>
    </w:r>
    <w:r>
      <w:rPr/>
      <w:fldChar w:fldCharType="begin"/>
    </w:r>
    <w:r>
      <w:rPr/>
      <w:instrText xml:space="preserve"> PAGE </w:instrText>
    </w:r>
    <w:r>
      <w:rPr/>
      <w:fldChar w:fldCharType="separate"/>
    </w:r>
    <w:r>
      <w:rPr/>
      <w:t>4</w:t>
    </w:r>
    <w: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LetterDate">
    <w:name w:val="LetterDate"/>
    <w:basedOn w:val="DefaultParagraphFont"/>
    <w:qFormat/>
    <w:rPr>
      <w:rFonts w:ascii="Times New Roman" w:hAnsi="Times New Roman" w:eastAsia="Times New Roman" w:cs="Times New Roman"/>
      <w:color w:val="auto"/>
      <w:spacing w:val="0"/>
      <w:kern w:val="0"/>
      <w:position w:val="0"/>
      <w:sz w:val="24"/>
      <w:sz w:val="24"/>
      <w:szCs w:val="24"/>
      <w:u w:val="none"/>
      <w:vertAlign w:val="baseline"/>
    </w:rPr>
  </w:style>
  <w:style w:type="character" w:styleId="FootnoteCharacters">
    <w:name w:val="Footnote Characters"/>
    <w:basedOn w:val="DefaultParagraphFont"/>
    <w:qFormat/>
    <w:rPr>
      <w:spacing w:val="0"/>
      <w:kern w:val="0"/>
      <w:u w:val="singl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tyle>
  <w:style w:type="paragraph" w:styleId="EnvelopeAddress">
    <w:name w:val="envelope address"/>
    <w:basedOn w:val="Normal"/>
    <w:pPr/>
    <w:rPr/>
  </w:style>
  <w:style w:type="paragraph" w:styleId="LetterClosing">
    <w:name w:val="LetterClosing"/>
    <w:basedOn w:val="Normal"/>
    <w:next w:val="Normal"/>
    <w:qFormat/>
    <w:pPr>
      <w:ind w:hanging="0" w:start="4493" w:end="-360"/>
    </w:pPr>
    <w:rPr/>
  </w:style>
  <w:style w:type="paragraph" w:styleId="PleadingSignature">
    <w:name w:val="Pleading Signature"/>
    <w:basedOn w:val="Normal"/>
    <w:qFormat/>
    <w:pPr>
      <w:tabs>
        <w:tab w:val="clear" w:pos="720"/>
        <w:tab w:val="left" w:pos="4867" w:leader="none"/>
        <w:tab w:val="right" w:pos="9000" w:leader="none"/>
      </w:tabs>
      <w:ind w:hanging="4867" w:start="4867" w:end="0"/>
    </w:pPr>
    <w:rPr/>
  </w:style>
  <w:style w:type="paragraph" w:styleId="ReLine">
    <w:name w:val="ReLine"/>
    <w:basedOn w:val="Normal"/>
    <w:next w:val="BodyText"/>
    <w:qFormat/>
    <w:pPr>
      <w:spacing w:before="240" w:after="240"/>
      <w:ind w:hanging="720" w:start="720" w:end="0"/>
    </w:pPr>
    <w:rPr/>
  </w:style>
  <w:style w:type="paragraph" w:styleId="FootnoteText">
    <w:name w:val="footnote text"/>
    <w:basedOn w:val="Normal"/>
    <w:pPr>
      <w:tabs>
        <w:tab w:val="clear" w:pos="720"/>
        <w:tab w:val="left" w:pos="432" w:leader="none"/>
      </w:tabs>
      <w:spacing w:before="0" w:after="120"/>
      <w:ind w:hanging="446" w:start="446"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tyle>
  <w:style w:type="paragraph" w:styleId="Header">
    <w:name w:val="header"/>
    <w:basedOn w:val="Normal"/>
    <w:pPr>
      <w:widowControl w:val="false"/>
      <w:tabs>
        <w:tab w:val="clear" w:pos="720"/>
        <w:tab w:val="center" w:pos="4680" w:leader="none"/>
        <w:tab w:val="right" w:pos="9360" w:leader="none"/>
      </w:tabs>
    </w:pPr>
    <w:rPr/>
  </w:style>
  <w:style w:type="paragraph" w:styleId="LetterSignature">
    <w:name w:val="Letter Signature"/>
    <w:basedOn w:val="Normal"/>
    <w:qFormat/>
    <w:pPr>
      <w:tabs>
        <w:tab w:val="clear" w:pos="720"/>
        <w:tab w:val="left" w:pos="4680" w:leader="none"/>
        <w:tab w:val="right" w:pos="9000" w:leader="none"/>
      </w:tabs>
      <w:ind w:hanging="0" w:start="4320" w:end="0"/>
    </w:pPr>
    <w:rPr/>
  </w:style>
  <w:style w:type="paragraph" w:styleId="DatePosition">
    <w:name w:val="DatePosition"/>
    <w:basedOn w:val="Normal"/>
    <w:next w:val="Normal"/>
    <w:qFormat/>
    <w:pPr>
      <w:tabs>
        <w:tab w:val="clear" w:pos="720"/>
        <w:tab w:val="center" w:pos="7830" w:leader="none"/>
      </w:tabs>
    </w:pPr>
    <w:rPr/>
  </w:style>
  <w:style w:type="paragraph" w:styleId="EnvelopeAddress1">
    <w:name w:val="Envelope Address1"/>
    <w:basedOn w:val="Normal"/>
    <w:qFormat/>
    <w:pPr>
      <w:ind w:hanging="0" w:start="2880" w:end="0"/>
    </w:pPr>
    <w:rPr/>
  </w:style>
  <w:style w:type="paragraph" w:styleId="SDP">
    <w:name w:val="SDP"/>
    <w:basedOn w:val="Normal"/>
    <w:qFormat/>
    <w:pPr>
      <w:jc w:val="center"/>
    </w:pPr>
    <w:rPr>
      <w:b/>
      <w:bCs/>
    </w:rPr>
  </w:style>
  <w:style w:type="paragraph" w:styleId="Quote-5inch">
    <w:name w:val="Quote - .5 inch"/>
    <w:basedOn w:val="Normal"/>
    <w:next w:val="Normal"/>
    <w:qFormat/>
    <w:pPr>
      <w:spacing w:before="240" w:after="0"/>
      <w:ind w:hanging="0" w:start="720" w:end="720"/>
    </w:pPr>
    <w:rPr/>
  </w:style>
  <w:style w:type="paragraph" w:styleId="Quote-1inch">
    <w:name w:val="Quote - 1 inch"/>
    <w:basedOn w:val="Normal"/>
    <w:next w:val="Normal"/>
    <w:qFormat/>
    <w:pPr>
      <w:spacing w:before="240" w:after="0"/>
      <w:ind w:hanging="0" w:start="1440" w:end="1440"/>
    </w:pPr>
    <w:rPr/>
  </w:style>
  <w:style w:type="paragraph" w:styleId="SDP2">
    <w:name w:val="SDP2"/>
    <w:basedOn w:val="SDP"/>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2001-08-30T21:00:00Z</dcterms:created>
  <dc:creator>Irene Rice</dc:creator>
  <dc:description/>
  <dc:language>en-CA</dc:language>
  <cp:lastModifiedBy>Lorraine Reyes</cp:lastModifiedBy>
  <cp:lastPrinted>2001-08-30T16:30:00Z</cp:lastPrinted>
  <dcterms:modified xsi:type="dcterms:W3CDTF">2001-08-30T21:01:00Z</dcterms:modified>
  <cp:revision>3</cp:revision>
  <dc:subject>MacPac Templates</dc:subject>
  <dc:title>PG&amp;E Letter Template, rev. 2/24/97, The Legal MacPac</dc:title>
</cp:coreProperties>
</file>