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8" w:color="000000"/>
          <w:right w:val="single" w:sz="4" w:space="4" w:color="000000"/>
        </w:pBdr>
        <w:rPr/>
      </w:pPr>
      <w:r>
        <w:rPr/>
        <w:t>CAEM</w:t>
      </w:r>
    </w:p>
    <w:p>
      <w:pPr>
        <w:pStyle w:val="Normal"/>
        <w:pBdr>
          <w:top w:val="single" w:sz="4" w:space="1" w:color="000000"/>
          <w:left w:val="single" w:sz="4" w:space="4" w:color="000000"/>
          <w:bottom w:val="single" w:sz="4" w:space="8" w:color="000000"/>
          <w:right w:val="single" w:sz="4" w:space="4" w:color="000000"/>
        </w:pBdr>
        <w:jc w:val="center"/>
        <w:rPr>
          <w:b/>
        </w:rPr>
      </w:pPr>
      <w:r>
        <w:rPr>
          <w:b/>
        </w:rPr>
        <w:t>Distributed Energy Task Force</w:t>
      </w:r>
    </w:p>
    <w:p>
      <w:pPr>
        <w:pStyle w:val="Heading1"/>
        <w:pBdr>
          <w:top w:val="single" w:sz="4" w:space="1" w:color="000000"/>
          <w:left w:val="single" w:sz="4" w:space="4" w:color="000000"/>
          <w:bottom w:val="single" w:sz="4" w:space="8" w:color="000000"/>
          <w:right w:val="single" w:sz="4" w:space="4" w:color="000000"/>
        </w:pBdr>
        <w:ind w:hanging="0" w:start="0"/>
        <w:rPr/>
      </w:pPr>
      <w:r>
        <w:rPr/>
        <w:t>Legislative Update</w:t>
      </w:r>
    </w:p>
    <w:p>
      <w:pPr>
        <w:pStyle w:val="Heading2"/>
        <w:pBdr>
          <w:top w:val="single" w:sz="4" w:space="1" w:color="000000"/>
          <w:left w:val="single" w:sz="4" w:space="4" w:color="000000"/>
          <w:bottom w:val="single" w:sz="4" w:space="8" w:color="000000"/>
          <w:right w:val="single" w:sz="4" w:space="4" w:color="000000"/>
        </w:pBdr>
        <w:ind w:hanging="0" w:start="0"/>
        <w:rPr/>
      </w:pPr>
      <w:r>
        <w:rPr>
          <w:b w:val="false"/>
        </w:rPr>
        <w:t>August 27, 2001</w:t>
      </w:r>
    </w:p>
    <w:p>
      <w:pPr>
        <w:pStyle w:val="Normal"/>
        <w:jc w:val="center"/>
        <w:rPr>
          <w:b/>
        </w:rPr>
      </w:pPr>
      <w:r>
        <w:rPr>
          <w:b/>
        </w:rPr>
      </w:r>
    </w:p>
    <w:p>
      <w:pPr>
        <w:pStyle w:val="Heading6"/>
        <w:ind w:hanging="0" w:start="0"/>
        <w:rPr/>
      </w:pPr>
      <w:r>
        <w:rPr/>
        <w:t>Congress moves on energy legislation</w:t>
      </w:r>
    </w:p>
    <w:p>
      <w:pPr>
        <w:pStyle w:val="Heading3"/>
        <w:ind w:hanging="0" w:start="0"/>
        <w:jc w:val="center"/>
        <w:rPr>
          <w:sz w:val="28"/>
        </w:rPr>
      </w:pPr>
      <w:r>
        <w:rPr>
          <w:sz w:val="28"/>
        </w:rPr>
        <w:t>&amp; Awareness of DG continues to grow</w:t>
      </w:r>
    </w:p>
    <w:p>
      <w:pPr>
        <w:pStyle w:val="Normal"/>
        <w:rPr>
          <w:sz w:val="24"/>
        </w:rPr>
      </w:pPr>
      <w:r>
        <w:rPr>
          <w:sz w:val="24"/>
        </w:rPr>
      </w:r>
    </w:p>
    <w:p>
      <w:pPr>
        <w:pStyle w:val="Heading4"/>
        <w:ind w:hanging="0" w:start="0"/>
        <w:rPr>
          <w:b/>
        </w:rPr>
      </w:pPr>
      <w:r>
        <w:rPr>
          <w:b/>
        </w:rPr>
        <w:t xml:space="preserve">Energy debate will raise awareness of DG – even if the “big” bill is delayed </w:t>
      </w:r>
    </w:p>
    <w:p>
      <w:pPr>
        <w:pStyle w:val="Normal"/>
        <w:rPr>
          <w:b/>
        </w:rPr>
      </w:pPr>
      <w:r>
        <w:rPr>
          <w:b/>
        </w:rPr>
      </w:r>
    </w:p>
    <w:p>
      <w:pPr>
        <w:pStyle w:val="BodyText"/>
        <w:rPr/>
      </w:pPr>
      <w:r>
        <w:rPr/>
        <w:t xml:space="preserve">Although cool weather in the early part of the summer seemed to dim the sense of urgency about electric issues, energy matters have remained high on the Congressional agenda since June, when the Distributed Energy Task Force met in Washington.  </w:t>
      </w:r>
    </w:p>
    <w:p>
      <w:pPr>
        <w:pStyle w:val="BodyText"/>
        <w:rPr/>
      </w:pPr>
      <w:r>
        <w:rPr/>
      </w:r>
    </w:p>
    <w:p>
      <w:pPr>
        <w:pStyle w:val="BodyText"/>
        <w:rPr/>
      </w:pPr>
      <w:r>
        <w:rPr/>
        <w:t>Most notably, before adjourning for the August recess the House approved an omnibus energy bill, H.R. 4.  The legislation, crafted by Energy and Commerce Chair Billy Tauzin (R-LA), encompasses a broad package of provisions intended to implement the President’s energy plan. The massive bill was approved by a vote of 240 to 189, with the winning margin including 36 Democratic votes, but the going will get tougher now that action has shifted to the Senate.</w:t>
      </w:r>
    </w:p>
    <w:p>
      <w:pPr>
        <w:pStyle w:val="BodyText"/>
        <w:rPr/>
      </w:pPr>
      <w:r>
        <w:rPr/>
      </w:r>
    </w:p>
    <w:p>
      <w:pPr>
        <w:pStyle w:val="BodyText"/>
        <w:rPr/>
      </w:pPr>
      <w:r>
        <w:rPr/>
        <w:t>The Senate Energy Committee has begun consideration of its version of the energy package, and Chairman Jeff Bingaman (D-NM) is still talking about getting approval of a bill before Congress adjourns for the year.  In the Senate, however, action is likely to slow, in the midst of concerns about Federal spending as well as filibuster threats, from both sides of the aisle, regarding proposals for leasing in the Arctic National Wildlife Refuge.  Despite recent comments by Chairman Bingaman, it seems increasingly likely that floor action will be deferred until 2002.</w:t>
      </w:r>
    </w:p>
    <w:p>
      <w:pPr>
        <w:pStyle w:val="BodyText"/>
        <w:rPr/>
      </w:pPr>
      <w:r>
        <w:rPr/>
      </w:r>
    </w:p>
    <w:p>
      <w:pPr>
        <w:pStyle w:val="BodyText"/>
        <w:rPr/>
      </w:pPr>
      <w:r>
        <w:rPr/>
        <w:t>Even beyond the context of the House and Senate comprehensive bills, energy issues are continuing to crop up across the Hill, with multiple committees paying attention to constituent concerns about energy pricing and the reliability of the nation’s electric grid.  This Legislative Update will provide a quick overview of relevant provisions in the House-passed legislation, as well as brief notes about comparable matters pending in the Senate.  A future Update will give Task Force members a report on discussions going forward in other venues.</w:t>
      </w:r>
    </w:p>
    <w:p>
      <w:pPr>
        <w:pStyle w:val="BodyText"/>
        <w:rPr/>
      </w:pPr>
      <w:r>
        <w:rPr/>
      </w:r>
    </w:p>
    <w:p>
      <w:pPr>
        <w:pStyle w:val="BodyText"/>
        <w:rPr>
          <w:b/>
          <w:u w:val="single"/>
        </w:rPr>
      </w:pPr>
      <w:r>
        <w:rPr>
          <w:b/>
          <w:u w:val="single"/>
        </w:rPr>
        <w:t>H.R. 4 addresses DG issues</w:t>
      </w:r>
    </w:p>
    <w:p>
      <w:pPr>
        <w:pStyle w:val="BodyText"/>
        <w:rPr>
          <w:b/>
          <w:u w:val="single"/>
        </w:rPr>
      </w:pPr>
      <w:r>
        <w:rPr>
          <w:b/>
          <w:u w:val="single"/>
        </w:rPr>
      </w:r>
    </w:p>
    <w:p>
      <w:pPr>
        <w:pStyle w:val="BodyText"/>
        <w:rPr/>
      </w:pPr>
      <w:r>
        <w:rPr/>
        <w:t xml:space="preserve">For the Distributed Energy Task Force, a primary focus of recent discussions about DG has been the House Science Committee, which has authority over many of DOE’s R&amp;D and other programs.  Among other provisions, H.R. 4 incorporates House Science Committee language authorizing DOE R&amp;D programs, and including provisions intended to encourage distributed energy (see particularly Sections 2121-28).   </w:t>
      </w:r>
    </w:p>
    <w:p>
      <w:pPr>
        <w:pStyle w:val="BodyText"/>
        <w:rPr/>
      </w:pPr>
      <w:r>
        <w:rPr/>
      </w:r>
    </w:p>
    <w:p>
      <w:pPr>
        <w:pStyle w:val="BodyText"/>
        <w:rPr/>
      </w:pPr>
      <w:r>
        <w:rPr/>
        <w:t>Among the provisions of H.R. 4 (known as the “Securing America's Future Energy Act of 2001” or  “SAFE Act”) are these:</w:t>
      </w:r>
    </w:p>
    <w:p>
      <w:pPr>
        <w:pStyle w:val="BodyText"/>
        <w:rPr/>
      </w:pPr>
      <w:r>
        <w:rPr/>
      </w:r>
    </w:p>
    <w:p>
      <w:pPr>
        <w:pStyle w:val="Normal"/>
        <w:numPr>
          <w:ilvl w:val="0"/>
          <w:numId w:val="5"/>
        </w:numPr>
        <w:rPr>
          <w:color w:val="000000"/>
          <w:sz w:val="24"/>
        </w:rPr>
      </w:pPr>
      <w:r>
        <w:rPr>
          <w:b/>
          <w:color w:val="000000"/>
          <w:sz w:val="24"/>
        </w:rPr>
        <w:t xml:space="preserve">Sec. 161. Review of regulations to eliminate barriers.  </w:t>
      </w:r>
      <w:r>
        <w:rPr>
          <w:color w:val="000000"/>
          <w:sz w:val="24"/>
        </w:rPr>
        <w:t>Federal agencies are directed to review their regulations and standards to determine those that act as a barrier to market entry for emerging energy-efficient technologies, including, but not limited to, fuel cells, combined heat and power, and distributed generation (including small-scale renewable energy).</w:t>
      </w:r>
    </w:p>
    <w:p>
      <w:pPr>
        <w:pStyle w:val="Normal"/>
        <w:rPr>
          <w:color w:val="000000"/>
          <w:sz w:val="24"/>
        </w:rPr>
      </w:pPr>
      <w:r>
        <w:rPr>
          <w:color w:val="000000"/>
          <w:sz w:val="24"/>
        </w:rPr>
      </w:r>
    </w:p>
    <w:p>
      <w:pPr>
        <w:pStyle w:val="Normal"/>
        <w:numPr>
          <w:ilvl w:val="0"/>
          <w:numId w:val="3"/>
        </w:numPr>
        <w:rPr>
          <w:color w:val="000000"/>
          <w:sz w:val="24"/>
        </w:rPr>
      </w:pPr>
      <w:r>
        <w:rPr>
          <w:b/>
          <w:color w:val="000000"/>
          <w:sz w:val="24"/>
        </w:rPr>
        <w:t xml:space="preserve">Sec. 601. Renewables assessment.  </w:t>
      </w:r>
      <w:r>
        <w:rPr>
          <w:color w:val="000000"/>
          <w:sz w:val="24"/>
        </w:rPr>
        <w:t>DOE is directed to publish an assessment by the National Laboratories of all U.S. renewable energy resources, including an inventory of solar, wind, biomass, geothermal, hydroelectric and other renewable energy sources.</w:t>
      </w:r>
    </w:p>
    <w:p>
      <w:pPr>
        <w:pStyle w:val="Normal"/>
        <w:rPr>
          <w:color w:val="000000"/>
          <w:sz w:val="24"/>
        </w:rPr>
      </w:pPr>
      <w:r>
        <w:rPr>
          <w:color w:val="000000"/>
          <w:sz w:val="24"/>
        </w:rPr>
      </w:r>
    </w:p>
    <w:p>
      <w:pPr>
        <w:pStyle w:val="Normal"/>
        <w:numPr>
          <w:ilvl w:val="0"/>
          <w:numId w:val="4"/>
        </w:numPr>
        <w:rPr>
          <w:color w:val="000000"/>
          <w:sz w:val="24"/>
        </w:rPr>
      </w:pPr>
      <w:r>
        <w:rPr>
          <w:b/>
          <w:color w:val="000000"/>
          <w:sz w:val="24"/>
        </w:rPr>
        <w:t>Sec. 2121-7.  Distributed power hybrid energy systems.</w:t>
      </w:r>
      <w:r>
        <w:rPr>
          <w:color w:val="000000"/>
          <w:sz w:val="24"/>
        </w:rPr>
        <w:t xml:space="preserve">  DOE is directed to consult with stakeholders and develop a 5-year strategy for fostering hybrid systems, and to report back to Congress within 2 years of the date the bill is enacted.  </w:t>
      </w:r>
    </w:p>
    <w:p>
      <w:pPr>
        <w:pStyle w:val="Normal"/>
        <w:rPr>
          <w:color w:val="000000"/>
          <w:sz w:val="24"/>
        </w:rPr>
      </w:pPr>
      <w:r>
        <w:rPr>
          <w:color w:val="000000"/>
          <w:sz w:val="24"/>
        </w:rPr>
      </w:r>
    </w:p>
    <w:p>
      <w:pPr>
        <w:pStyle w:val="Normal"/>
        <w:numPr>
          <w:ilvl w:val="0"/>
          <w:numId w:val="4"/>
        </w:numPr>
        <w:tabs>
          <w:tab w:val="clear" w:pos="720"/>
          <w:tab w:val="left" w:pos="1080" w:leader="none"/>
        </w:tabs>
        <w:ind w:hanging="360" w:start="1080" w:end="0"/>
        <w:rPr>
          <w:color w:val="000000"/>
          <w:sz w:val="24"/>
        </w:rPr>
      </w:pPr>
      <w:r>
        <w:rPr>
          <w:color w:val="000000"/>
          <w:sz w:val="24"/>
        </w:rPr>
        <w:t xml:space="preserve">A </w:t>
      </w:r>
      <w:r>
        <w:rPr>
          <w:b/>
          <w:color w:val="000000"/>
          <w:sz w:val="24"/>
        </w:rPr>
        <w:t>hybrid system</w:t>
      </w:r>
      <w:r>
        <w:rPr>
          <w:color w:val="000000"/>
          <w:sz w:val="24"/>
        </w:rPr>
        <w:t xml:space="preserve"> is one that uses “2 or more distributed power sources, operated together with associated supporting equipment, including storage equipment, and software necessary to provide electric power onsite and to an electric distribution system.”  </w:t>
      </w:r>
    </w:p>
    <w:p>
      <w:pPr>
        <w:pStyle w:val="Normal"/>
        <w:rPr>
          <w:color w:val="000000"/>
          <w:sz w:val="24"/>
        </w:rPr>
      </w:pPr>
      <w:r>
        <w:rPr>
          <w:color w:val="000000"/>
          <w:sz w:val="24"/>
        </w:rPr>
      </w:r>
    </w:p>
    <w:p>
      <w:pPr>
        <w:pStyle w:val="Normal"/>
        <w:numPr>
          <w:ilvl w:val="0"/>
          <w:numId w:val="2"/>
        </w:numPr>
        <w:tabs>
          <w:tab w:val="clear" w:pos="720"/>
          <w:tab w:val="left" w:pos="1080" w:leader="none"/>
        </w:tabs>
        <w:ind w:hanging="360" w:start="1080" w:end="0"/>
        <w:rPr>
          <w:color w:val="000000"/>
          <w:sz w:val="24"/>
        </w:rPr>
      </w:pPr>
      <w:r>
        <w:rPr>
          <w:color w:val="000000"/>
          <w:sz w:val="24"/>
        </w:rPr>
        <w:t>A “</w:t>
      </w:r>
      <w:r>
        <w:rPr>
          <w:b/>
          <w:color w:val="000000"/>
          <w:sz w:val="24"/>
        </w:rPr>
        <w:t>distributed power source</w:t>
      </w:r>
      <w:r>
        <w:rPr>
          <w:color w:val="000000"/>
          <w:sz w:val="24"/>
        </w:rPr>
        <w:t>” means an independent electric energy source, of usually 10 MW or less, located close to a residential, commercial, or industrial load center, and including reciprocating engines; turbines; microturbines; fuel cells; and solar, wind, biopower, geothermal and combined heat and power systems.</w:t>
      </w:r>
    </w:p>
    <w:p>
      <w:pPr>
        <w:pStyle w:val="Normal"/>
        <w:rPr>
          <w:color w:val="000000"/>
          <w:sz w:val="24"/>
        </w:rPr>
      </w:pPr>
      <w:r>
        <w:rPr>
          <w:color w:val="000000"/>
          <w:sz w:val="24"/>
        </w:rPr>
      </w:r>
    </w:p>
    <w:p>
      <w:pPr>
        <w:pStyle w:val="Normal"/>
        <w:numPr>
          <w:ilvl w:val="0"/>
          <w:numId w:val="7"/>
        </w:numPr>
        <w:tabs>
          <w:tab w:val="clear" w:pos="720"/>
          <w:tab w:val="left" w:pos="1080" w:leader="none"/>
        </w:tabs>
        <w:ind w:hanging="360" w:start="1080" w:end="0"/>
        <w:rPr>
          <w:color w:val="000000"/>
          <w:sz w:val="24"/>
        </w:rPr>
      </w:pPr>
      <w:r>
        <w:rPr>
          <w:color w:val="000000"/>
          <w:sz w:val="24"/>
        </w:rPr>
        <w:t xml:space="preserve">The </w:t>
      </w:r>
      <w:r>
        <w:rPr>
          <w:b/>
          <w:color w:val="000000"/>
          <w:sz w:val="24"/>
        </w:rPr>
        <w:t>strategy report</w:t>
      </w:r>
      <w:r>
        <w:rPr>
          <w:color w:val="000000"/>
          <w:sz w:val="24"/>
        </w:rPr>
        <w:t xml:space="preserve"> should:</w:t>
      </w:r>
    </w:p>
    <w:p>
      <w:pPr>
        <w:pStyle w:val="Normal"/>
        <w:numPr>
          <w:ilvl w:val="0"/>
          <w:numId w:val="7"/>
        </w:numPr>
        <w:tabs>
          <w:tab w:val="clear" w:pos="720"/>
          <w:tab w:val="left" w:pos="1440" w:leader="none"/>
        </w:tabs>
        <w:ind w:hanging="360" w:start="1440" w:end="0"/>
        <w:rPr>
          <w:color w:val="000000"/>
          <w:sz w:val="24"/>
        </w:rPr>
      </w:pPr>
      <w:r>
        <w:rPr>
          <w:color w:val="000000"/>
          <w:sz w:val="24"/>
        </w:rPr>
        <w:t>describe needs that are best met with distributed power hybrid system configurations, as well as technology gaps and barriers (including interconnection barriers),</w:t>
      </w:r>
    </w:p>
    <w:p>
      <w:pPr>
        <w:pStyle w:val="Normal"/>
        <w:numPr>
          <w:ilvl w:val="0"/>
          <w:numId w:val="8"/>
        </w:numPr>
        <w:tabs>
          <w:tab w:val="clear" w:pos="720"/>
          <w:tab w:val="left" w:pos="1440" w:leader="none"/>
        </w:tabs>
        <w:ind w:hanging="360" w:start="1440" w:end="0"/>
        <w:rPr>
          <w:color w:val="000000"/>
          <w:sz w:val="24"/>
        </w:rPr>
      </w:pPr>
      <w:r>
        <w:rPr>
          <w:color w:val="000000"/>
          <w:sz w:val="24"/>
        </w:rPr>
        <w:t>provide for development of system integration tools, testing, design tools, resource assessment, and</w:t>
      </w:r>
    </w:p>
    <w:p>
      <w:pPr>
        <w:pStyle w:val="Normal"/>
        <w:numPr>
          <w:ilvl w:val="0"/>
          <w:numId w:val="8"/>
        </w:numPr>
        <w:tabs>
          <w:tab w:val="clear" w:pos="720"/>
          <w:tab w:val="left" w:pos="1440" w:leader="none"/>
        </w:tabs>
        <w:ind w:hanging="360" w:start="1440" w:end="0"/>
        <w:rPr>
          <w:color w:val="000000"/>
          <w:sz w:val="24"/>
        </w:rPr>
      </w:pPr>
      <w:r>
        <w:rPr>
          <w:color w:val="000000"/>
          <w:sz w:val="24"/>
        </w:rPr>
        <w:t xml:space="preserve">propose an RD&amp;D program. </w:t>
      </w:r>
    </w:p>
    <w:p>
      <w:pPr>
        <w:pStyle w:val="Normal"/>
        <w:rPr>
          <w:color w:val="000000"/>
          <w:sz w:val="24"/>
        </w:rPr>
      </w:pPr>
      <w:r>
        <w:rPr>
          <w:color w:val="000000"/>
          <w:sz w:val="24"/>
        </w:rPr>
      </w:r>
    </w:p>
    <w:p>
      <w:pPr>
        <w:pStyle w:val="Normal"/>
        <w:numPr>
          <w:ilvl w:val="0"/>
          <w:numId w:val="3"/>
        </w:numPr>
        <w:rPr>
          <w:color w:val="000000"/>
          <w:sz w:val="24"/>
        </w:rPr>
      </w:pPr>
      <w:r>
        <w:rPr>
          <w:b/>
          <w:color w:val="000000"/>
          <w:sz w:val="24"/>
        </w:rPr>
        <w:t>Sec. 2124.  Power-intensive industries</w:t>
      </w:r>
      <w:r>
        <w:rPr>
          <w:color w:val="000000"/>
          <w:sz w:val="24"/>
        </w:rPr>
        <w:t>.   DOE is directed to develop and implement a comprehensive RD&amp;D and commercial application program to improve energy efficiency, reliability, and environmental responsibility in high power density industries, like data centers, server farms, telecommunications facilities, and heavy industry.</w:t>
      </w:r>
    </w:p>
    <w:p>
      <w:pPr>
        <w:pStyle w:val="Normal"/>
        <w:rPr>
          <w:color w:val="000000"/>
          <w:sz w:val="24"/>
        </w:rPr>
      </w:pPr>
      <w:r>
        <w:rPr>
          <w:color w:val="000000"/>
          <w:sz w:val="24"/>
        </w:rPr>
      </w:r>
    </w:p>
    <w:p>
      <w:pPr>
        <w:pStyle w:val="Normal"/>
        <w:numPr>
          <w:ilvl w:val="0"/>
          <w:numId w:val="9"/>
        </w:numPr>
        <w:rPr>
          <w:color w:val="000000"/>
          <w:sz w:val="24"/>
        </w:rPr>
      </w:pPr>
      <w:r>
        <w:rPr>
          <w:b/>
          <w:color w:val="000000"/>
          <w:sz w:val="24"/>
        </w:rPr>
        <w:t>Sec. 2125.</w:t>
      </w:r>
      <w:r>
        <w:rPr>
          <w:color w:val="000000"/>
          <w:sz w:val="24"/>
        </w:rPr>
        <w:t xml:space="preserve"> </w:t>
      </w:r>
      <w:r>
        <w:rPr>
          <w:b/>
          <w:color w:val="000000"/>
          <w:sz w:val="24"/>
        </w:rPr>
        <w:t xml:space="preserve">Micro-cogeneration.  </w:t>
      </w:r>
      <w:r>
        <w:rPr>
          <w:color w:val="000000"/>
          <w:sz w:val="24"/>
        </w:rPr>
        <w:t xml:space="preserve">DOE is authorized to make competitive, merit-based grants to consortia of private sector entities for the development of micro-cogeneration energy technology. The consortia are to explore the creation of small-scale combined heat and power through the use of residential heating appliances. </w:t>
      </w:r>
    </w:p>
    <w:p>
      <w:pPr>
        <w:pStyle w:val="Normal"/>
        <w:rPr>
          <w:color w:val="000000"/>
          <w:sz w:val="24"/>
        </w:rPr>
      </w:pPr>
      <w:r>
        <w:rPr>
          <w:color w:val="000000"/>
          <w:sz w:val="24"/>
        </w:rPr>
      </w:r>
    </w:p>
    <w:p>
      <w:pPr>
        <w:pStyle w:val="Normal"/>
        <w:numPr>
          <w:ilvl w:val="0"/>
          <w:numId w:val="8"/>
        </w:numPr>
        <w:rPr>
          <w:color w:val="000000"/>
          <w:sz w:val="24"/>
          <w:u w:val="single"/>
        </w:rPr>
      </w:pPr>
      <w:r>
        <w:rPr>
          <w:b/>
          <w:color w:val="000000"/>
          <w:sz w:val="24"/>
        </w:rPr>
        <w:t xml:space="preserve">Sec. 2128.  Consensus standards.  </w:t>
      </w:r>
      <w:r>
        <w:rPr>
          <w:color w:val="000000"/>
          <w:sz w:val="24"/>
        </w:rPr>
        <w:t>DOE is directed to consult with the National Institute of Standards and Technology, and others, and work toward the development of voluntary consensus standards.</w:t>
      </w:r>
    </w:p>
    <w:p>
      <w:pPr>
        <w:pStyle w:val="Normal"/>
        <w:rPr>
          <w:color w:val="000000"/>
          <w:sz w:val="24"/>
          <w:u w:val="single"/>
        </w:rPr>
      </w:pPr>
      <w:r>
        <w:rPr>
          <w:color w:val="000000"/>
          <w:sz w:val="24"/>
          <w:u w:val="single"/>
        </w:rPr>
      </w:r>
    </w:p>
    <w:p>
      <w:pPr>
        <w:pStyle w:val="Normal"/>
        <w:numPr>
          <w:ilvl w:val="0"/>
          <w:numId w:val="4"/>
        </w:numPr>
        <w:rPr>
          <w:color w:val="000000"/>
          <w:sz w:val="24"/>
        </w:rPr>
      </w:pPr>
      <w:r>
        <w:rPr>
          <w:b/>
          <w:color w:val="000000"/>
          <w:sz w:val="24"/>
        </w:rPr>
        <w:t>Science Committee language encourages case studies</w:t>
      </w:r>
      <w:r>
        <w:rPr>
          <w:color w:val="000000"/>
          <w:sz w:val="24"/>
        </w:rPr>
        <w:t>. Growing directly from discussions at the Task Force meeting, the report accompanying the Science Committee’s portion of the omnibus bill (House Report 107-177) addresses the need for written analyses of DG installations. The Committee language encourages DOE to solicit co-funding proposals from universities, particularly for projects that feature emerging DER technologies and would result in written case studies and other analyses.</w:t>
      </w:r>
    </w:p>
    <w:p>
      <w:pPr>
        <w:pStyle w:val="Normal"/>
        <w:rPr>
          <w:b/>
          <w:color w:val="000000"/>
          <w:sz w:val="24"/>
        </w:rPr>
      </w:pPr>
      <w:r>
        <w:rPr>
          <w:b/>
          <w:color w:val="000000"/>
          <w:sz w:val="24"/>
        </w:rPr>
      </w:r>
    </w:p>
    <w:p>
      <w:pPr>
        <w:pStyle w:val="Heading5"/>
        <w:ind w:hanging="0" w:start="0"/>
        <w:rPr/>
      </w:pPr>
      <w:r>
        <w:rPr/>
        <w:t>Ways and Means package includes tax incentives</w:t>
      </w:r>
    </w:p>
    <w:p>
      <w:pPr>
        <w:pStyle w:val="Normal"/>
        <w:rPr/>
      </w:pPr>
      <w:r>
        <w:rPr/>
      </w:r>
    </w:p>
    <w:p>
      <w:pPr>
        <w:pStyle w:val="BodyText"/>
        <w:rPr/>
      </w:pPr>
      <w:r>
        <w:rPr/>
        <w:t xml:space="preserve">An energy tax package approved by the Ways and Means Committee was bundled with various energy policy and authorizing provisions, and approved by the House as part of H.R. 4.  In the Senate, those tax provisions will once again be stripped away from the energy policy language, and considered by the Finance Committee, which has exclusive jurisdiction over tax matters.  Finance Committee staff suggest that – if their Committee does move on an energy package this year – action will not occur until the Energy Committee has approved the bulk of the omnibus bill, and the Leadership has scheduled floor time for it.  </w:t>
      </w:r>
    </w:p>
    <w:p>
      <w:pPr>
        <w:pStyle w:val="Normal"/>
        <w:rPr>
          <w:sz w:val="24"/>
        </w:rPr>
      </w:pPr>
      <w:r>
        <w:rPr>
          <w:sz w:val="24"/>
        </w:rPr>
      </w:r>
    </w:p>
    <w:p>
      <w:pPr>
        <w:pStyle w:val="Normal"/>
        <w:rPr/>
      </w:pPr>
      <w:r>
        <w:rPr>
          <w:sz w:val="24"/>
        </w:rPr>
        <w:t>In other words, it now appears unlikely that the Senate will act on energy legislation before Congress adjourns for the year.  With chances of floor action in 2001 waning, the Finance Committee probably will wait until 2002 to consider an energy tax package.  Furthermore, once the Senate does take up such a package, it is likely to discard many of the provisions approved by the House.  In particular, we have been told, the Finance Committee is reluctant to approve new or expanded tax credits, because Committee members do not believe that Federal funds will be available to “pay for” those credits.</w:t>
      </w:r>
    </w:p>
    <w:p>
      <w:pPr>
        <w:pStyle w:val="Normal"/>
        <w:rPr>
          <w:sz w:val="24"/>
        </w:rPr>
      </w:pPr>
      <w:r>
        <w:rPr>
          <w:sz w:val="24"/>
        </w:rPr>
      </w:r>
    </w:p>
    <w:p>
      <w:pPr>
        <w:pStyle w:val="Normal"/>
        <w:rPr>
          <w:sz w:val="24"/>
        </w:rPr>
      </w:pPr>
      <w:r>
        <w:rPr>
          <w:sz w:val="24"/>
        </w:rPr>
        <w:t xml:space="preserve">Despite the uphill battle to fund a tax relief package, it seems likely that any comprehensive energy bill ultimately passed by Congress will include at least some provisions intended to encourage onsite power generation, particularly from renewable sources.  One reason for this is that, politically, there is a need to balance any tax incentives allowed to oil and gas producers.  Furthermore, many Members of Congress now seem to agree with the Ways and Means report, which said that “the Committee believes that the on-site generation of electricity and hot water will reduce reliance on the United States’ electricity grid and natural gas pipelines.” </w:t>
      </w:r>
    </w:p>
    <w:p>
      <w:pPr>
        <w:pStyle w:val="Normal"/>
        <w:rPr>
          <w:sz w:val="24"/>
        </w:rPr>
      </w:pPr>
      <w:r>
        <w:rPr>
          <w:sz w:val="24"/>
        </w:rPr>
      </w:r>
    </w:p>
    <w:p>
      <w:pPr>
        <w:pStyle w:val="Normal"/>
        <w:rPr>
          <w:sz w:val="24"/>
        </w:rPr>
      </w:pPr>
      <w:r>
        <w:rPr>
          <w:sz w:val="24"/>
        </w:rPr>
        <w:t>Here is a quick summary of some key provisions adopted by the Ways and Means Committee, and included within H.R. 4:</w:t>
      </w:r>
    </w:p>
    <w:p>
      <w:pPr>
        <w:pStyle w:val="Normal"/>
        <w:rPr>
          <w:sz w:val="24"/>
        </w:rPr>
      </w:pPr>
      <w:r>
        <w:rPr>
          <w:sz w:val="24"/>
        </w:rPr>
      </w:r>
    </w:p>
    <w:p>
      <w:pPr>
        <w:pStyle w:val="Normal"/>
        <w:numPr>
          <w:ilvl w:val="0"/>
          <w:numId w:val="3"/>
        </w:numPr>
        <w:rPr>
          <w:sz w:val="24"/>
        </w:rPr>
      </w:pPr>
      <w:r>
        <w:rPr>
          <w:sz w:val="24"/>
        </w:rPr>
        <w:t xml:space="preserve">A 15% tax credit for qualified </w:t>
      </w:r>
      <w:r>
        <w:rPr>
          <w:b/>
          <w:sz w:val="24"/>
        </w:rPr>
        <w:t>photovoltaic and solar water heating property</w:t>
      </w:r>
      <w:r>
        <w:rPr>
          <w:sz w:val="24"/>
        </w:rPr>
        <w:t xml:space="preserve">, up to a total of $2000. </w:t>
      </w:r>
    </w:p>
    <w:p>
      <w:pPr>
        <w:pStyle w:val="Normal"/>
        <w:rPr>
          <w:sz w:val="24"/>
        </w:rPr>
      </w:pPr>
      <w:r>
        <w:rPr>
          <w:sz w:val="24"/>
        </w:rPr>
      </w:r>
    </w:p>
    <w:p>
      <w:pPr>
        <w:pStyle w:val="Normal"/>
        <w:numPr>
          <w:ilvl w:val="0"/>
          <w:numId w:val="4"/>
        </w:numPr>
        <w:rPr>
          <w:sz w:val="24"/>
        </w:rPr>
      </w:pPr>
      <w:r>
        <w:rPr>
          <w:sz w:val="24"/>
        </w:rPr>
        <w:t xml:space="preserve">An extension of the Section 45 electricity production credit for </w:t>
      </w:r>
      <w:r>
        <w:rPr>
          <w:b/>
          <w:sz w:val="24"/>
        </w:rPr>
        <w:t>wind</w:t>
      </w:r>
      <w:r>
        <w:rPr>
          <w:sz w:val="24"/>
        </w:rPr>
        <w:t xml:space="preserve"> and closed loop biomass, and an expansion of that credit to reach open-loop </w:t>
      </w:r>
      <w:r>
        <w:rPr>
          <w:b/>
          <w:sz w:val="24"/>
        </w:rPr>
        <w:t>biomass and landfill gas</w:t>
      </w:r>
      <w:r>
        <w:rPr>
          <w:sz w:val="24"/>
        </w:rPr>
        <w:t xml:space="preserve"> facilities.</w:t>
      </w:r>
    </w:p>
    <w:p>
      <w:pPr>
        <w:pStyle w:val="Normal"/>
        <w:rPr>
          <w:sz w:val="24"/>
        </w:rPr>
      </w:pPr>
      <w:r>
        <w:rPr>
          <w:sz w:val="24"/>
        </w:rPr>
      </w:r>
    </w:p>
    <w:p>
      <w:pPr>
        <w:pStyle w:val="Normal"/>
        <w:numPr>
          <w:ilvl w:val="0"/>
          <w:numId w:val="5"/>
        </w:numPr>
        <w:rPr>
          <w:sz w:val="24"/>
        </w:rPr>
      </w:pPr>
      <w:r>
        <w:rPr>
          <w:sz w:val="24"/>
        </w:rPr>
        <w:t xml:space="preserve">Both business and individual tax credits for </w:t>
      </w:r>
      <w:r>
        <w:rPr>
          <w:b/>
          <w:sz w:val="24"/>
        </w:rPr>
        <w:t>stationary fuel cell</w:t>
      </w:r>
      <w:r>
        <w:rPr>
          <w:sz w:val="24"/>
        </w:rPr>
        <w:t xml:space="preserve"> power plant property.</w:t>
      </w:r>
    </w:p>
    <w:p>
      <w:pPr>
        <w:pStyle w:val="Normal"/>
        <w:rPr>
          <w:sz w:val="24"/>
        </w:rPr>
      </w:pPr>
      <w:r>
        <w:rPr>
          <w:sz w:val="24"/>
        </w:rPr>
      </w:r>
    </w:p>
    <w:p>
      <w:pPr>
        <w:pStyle w:val="Normal"/>
        <w:numPr>
          <w:ilvl w:val="0"/>
          <w:numId w:val="6"/>
        </w:numPr>
        <w:rPr>
          <w:sz w:val="24"/>
        </w:rPr>
      </w:pPr>
      <w:r>
        <w:rPr>
          <w:sz w:val="24"/>
        </w:rPr>
        <w:t xml:space="preserve">A new deduction for qualified </w:t>
      </w:r>
      <w:r>
        <w:rPr>
          <w:b/>
          <w:sz w:val="24"/>
        </w:rPr>
        <w:t>energy management devices and meters</w:t>
      </w:r>
      <w:r>
        <w:rPr>
          <w:sz w:val="24"/>
        </w:rPr>
        <w:t xml:space="preserve"> that provide consumers with information about their peak power usage and time-of-day price variations, as well as a 3-year recovery period for depreciation of qualified devices.</w:t>
      </w:r>
    </w:p>
    <w:p>
      <w:pPr>
        <w:pStyle w:val="Normal"/>
        <w:rPr>
          <w:b/>
          <w:sz w:val="24"/>
        </w:rPr>
      </w:pPr>
      <w:r>
        <w:rPr>
          <w:b/>
          <w:sz w:val="24"/>
        </w:rPr>
      </w:r>
    </w:p>
    <w:p>
      <w:pPr>
        <w:pStyle w:val="Normal"/>
        <w:numPr>
          <w:ilvl w:val="0"/>
          <w:numId w:val="4"/>
        </w:numPr>
        <w:rPr>
          <w:sz w:val="24"/>
        </w:rPr>
      </w:pPr>
      <w:r>
        <w:rPr>
          <w:sz w:val="24"/>
        </w:rPr>
        <w:t xml:space="preserve">A 10% tax credit for the purchase of </w:t>
      </w:r>
      <w:r>
        <w:rPr>
          <w:b/>
          <w:sz w:val="24"/>
        </w:rPr>
        <w:t>combined heat and power</w:t>
      </w:r>
      <w:r>
        <w:rPr>
          <w:sz w:val="24"/>
        </w:rPr>
        <w:t xml:space="preserve"> property that has a capacity of more than 50 kW, and produces at least 20% of its useful energy in the form of thermal energy and 20% as electrical and/or mechanical power.</w:t>
      </w:r>
    </w:p>
    <w:p>
      <w:pPr>
        <w:pStyle w:val="Normal"/>
        <w:rPr>
          <w:sz w:val="24"/>
        </w:rPr>
      </w:pPr>
      <w:r>
        <w:rPr>
          <w:sz w:val="24"/>
        </w:rPr>
      </w:r>
    </w:p>
    <w:p>
      <w:pPr>
        <w:pStyle w:val="Normal"/>
        <w:numPr>
          <w:ilvl w:val="0"/>
          <w:numId w:val="7"/>
        </w:numPr>
        <w:rPr>
          <w:b/>
          <w:sz w:val="24"/>
        </w:rPr>
      </w:pPr>
      <w:r>
        <w:rPr>
          <w:sz w:val="24"/>
        </w:rPr>
        <w:t xml:space="preserve">Language allowing nonbusiness energy tax credits to offset the </w:t>
      </w:r>
      <w:r>
        <w:rPr>
          <w:b/>
          <w:sz w:val="24"/>
        </w:rPr>
        <w:t>Alternative Minimum Tax.</w:t>
      </w:r>
    </w:p>
    <w:p>
      <w:pPr>
        <w:pStyle w:val="Normal"/>
        <w:rPr>
          <w:b/>
          <w:sz w:val="24"/>
        </w:rPr>
      </w:pPr>
      <w:r>
        <w:rPr>
          <w:b/>
          <w:sz w:val="24"/>
        </w:rPr>
      </w:r>
    </w:p>
    <w:p>
      <w:pPr>
        <w:pStyle w:val="Heading7"/>
        <w:ind w:hanging="0" w:start="0"/>
        <w:rPr/>
      </w:pPr>
      <w:r>
        <w:rPr/>
        <w:t>Senators hear DOE testimony</w:t>
      </w:r>
    </w:p>
    <w:p>
      <w:pPr>
        <w:pStyle w:val="Normal"/>
        <w:rPr>
          <w:sz w:val="24"/>
        </w:rPr>
      </w:pPr>
      <w:r>
        <w:rPr>
          <w:sz w:val="24"/>
        </w:rPr>
      </w:r>
    </w:p>
    <w:p>
      <w:pPr>
        <w:pStyle w:val="Normal"/>
        <w:rPr>
          <w:sz w:val="24"/>
        </w:rPr>
      </w:pPr>
      <w:r>
        <w:rPr>
          <w:sz w:val="24"/>
        </w:rPr>
        <w:t>The Senate Energy Committee in recent weeks has been conducting an ambitious hearing schedule, inviting testimony not only on the issues within the reach of H.R. 4, but also addressing other questions related to electric industry restructuring and regulation.  Of particular interest to proponents of DG was testimony on July 19 by David Garman, DOE Assistant Secretary for Energy Efficiency and Renewable Energy.  Here are excerpts from his statement:</w:t>
      </w:r>
    </w:p>
    <w:p>
      <w:pPr>
        <w:pStyle w:val="Normal"/>
        <w:rPr>
          <w:rFonts w:eastAsia="Arial"/>
          <w:sz w:val="24"/>
        </w:rPr>
      </w:pPr>
      <w:r>
        <w:rPr>
          <w:rFonts w:eastAsia="Arial"/>
          <w:sz w:val="24"/>
        </w:rPr>
        <w:t xml:space="preserve">             </w:t>
      </w:r>
    </w:p>
    <w:p>
      <w:pPr>
        <w:pStyle w:val="Normal"/>
        <w:numPr>
          <w:ilvl w:val="0"/>
          <w:numId w:val="4"/>
        </w:numPr>
        <w:rPr>
          <w:sz w:val="24"/>
        </w:rPr>
      </w:pPr>
      <w:r>
        <w:rPr>
          <w:sz w:val="24"/>
        </w:rPr>
        <w:t xml:space="preserve">By </w:t>
      </w:r>
      <w:r>
        <w:rPr>
          <w:b/>
          <w:sz w:val="24"/>
        </w:rPr>
        <w:t>removing barriers</w:t>
      </w:r>
      <w:r>
        <w:rPr>
          <w:sz w:val="24"/>
        </w:rPr>
        <w:t xml:space="preserve"> related to interconnection standards, net metering, purchases of renewable energy, and combined heat and power, we can increase the efficiency of our electric system by making distributed energy resources more practical in the marketplace.  Because distributed resources put electricity generation closer to its point of use, they can help overcome some of the generation, transmission and distribution problems we are experiencing today in some areas of the country.  </w:t>
      </w:r>
    </w:p>
    <w:p>
      <w:pPr>
        <w:pStyle w:val="Normal"/>
        <w:rPr>
          <w:sz w:val="24"/>
        </w:rPr>
      </w:pPr>
      <w:r>
        <w:rPr>
          <w:sz w:val="24"/>
        </w:rPr>
      </w:r>
    </w:p>
    <w:p>
      <w:pPr>
        <w:pStyle w:val="Normal"/>
        <w:numPr>
          <w:ilvl w:val="0"/>
          <w:numId w:val="5"/>
        </w:numPr>
        <w:rPr>
          <w:sz w:val="24"/>
        </w:rPr>
      </w:pPr>
      <w:r>
        <w:rPr>
          <w:sz w:val="24"/>
        </w:rPr>
        <w:t xml:space="preserve">The White House shares the view that, as the </w:t>
      </w:r>
      <w:r>
        <w:rPr>
          <w:b/>
          <w:sz w:val="24"/>
        </w:rPr>
        <w:t>nation’s largest single energy user</w:t>
      </w:r>
      <w:r>
        <w:rPr>
          <w:sz w:val="24"/>
        </w:rPr>
        <w:t xml:space="preserve">, the Federal Government offers a significant potential market for </w:t>
      </w:r>
      <w:r>
        <w:rPr>
          <w:b/>
          <w:sz w:val="24"/>
        </w:rPr>
        <w:t>renewable</w:t>
      </w:r>
      <w:r>
        <w:rPr>
          <w:sz w:val="24"/>
        </w:rPr>
        <w:t xml:space="preserve"> energy products, and the Administration supports the establishment of goals for this purpose.   The existing goal pursuant to Executive Order 13123 is that 2.5% of the Federal Government’s electricity use should be derived from specified renewable resources by the year 2005.  </w:t>
      </w:r>
    </w:p>
    <w:p>
      <w:pPr>
        <w:pStyle w:val="Normal"/>
        <w:rPr>
          <w:sz w:val="24"/>
        </w:rPr>
      </w:pPr>
      <w:r>
        <w:rPr>
          <w:sz w:val="24"/>
        </w:rPr>
      </w:r>
    </w:p>
    <w:p>
      <w:pPr>
        <w:pStyle w:val="BodyText"/>
        <w:numPr>
          <w:ilvl w:val="0"/>
          <w:numId w:val="10"/>
        </w:numPr>
        <w:rPr/>
      </w:pPr>
      <w:r>
        <w:rPr/>
        <w:t xml:space="preserve">The Administration supports the concept of </w:t>
      </w:r>
      <w:r>
        <w:rPr>
          <w:b/>
        </w:rPr>
        <w:t>uniform and enforceable interconnection</w:t>
      </w:r>
      <w:r>
        <w:rPr/>
        <w:t xml:space="preserve"> requirements that will apply to both distribution and transmission systems.  Distributed electricity generation can offer customer benefits such as increased reliability, uninterruptible service, energy cost savings, and on-site efficiencies.  However, adding new small grid-connected generating facilities to an existing electricity grid developed around centralized generation will require innovative approaches to managing and operating new distributed energy resources…A national interconnection standard would reduce uncertainty, lower costs, and facilitate deployment of modern distributed generation technologies such as fuel cells, photovoltaics, wind and microturbines.  It would also remove one of the barriers to combined heat and power. </w:t>
      </w:r>
    </w:p>
    <w:p>
      <w:pPr>
        <w:pStyle w:val="Normal"/>
        <w:rPr>
          <w:sz w:val="24"/>
        </w:rPr>
      </w:pPr>
      <w:r>
        <w:rPr>
          <w:sz w:val="24"/>
        </w:rPr>
      </w:r>
    </w:p>
    <w:p>
      <w:pPr>
        <w:pStyle w:val="BodyText"/>
        <w:numPr>
          <w:ilvl w:val="0"/>
          <w:numId w:val="11"/>
        </w:numPr>
        <w:rPr/>
      </w:pPr>
      <w:r>
        <w:rPr/>
        <w:t xml:space="preserve">Today’s electricity system was designed in a regulated environment around central power stations.  It was not designed to send </w:t>
      </w:r>
      <w:r>
        <w:rPr>
          <w:b/>
        </w:rPr>
        <w:t>real pricing signals</w:t>
      </w:r>
      <w:r>
        <w:rPr/>
        <w:t xml:space="preserve"> to consumers, nor was it designed to accommodate distributed generation or consumer choice.  Our shared challenge is to transform that system into a more efficient one that can do all that and more.</w:t>
      </w:r>
    </w:p>
    <w:p>
      <w:pPr>
        <w:pStyle w:val="BodyText"/>
        <w:rPr/>
      </w:pPr>
      <w:r>
        <w:rPr/>
      </w:r>
    </w:p>
    <w:p>
      <w:pPr>
        <w:pStyle w:val="BodyText"/>
        <w:rPr/>
      </w:pPr>
      <w:r>
        <w:rPr>
          <w:b/>
          <w:u w:val="single"/>
        </w:rPr>
        <w:t xml:space="preserve">A final note:  Write to Senate and Finance.  </w:t>
      </w:r>
      <w:r>
        <w:rPr/>
        <w:t xml:space="preserve"> Energy staff have told us that they are working on legislative language addressing issues related to DG.  They expect that DG could be discussed at a mid-September Energy Committee mark-up session.  Meanwhile, although chances of Finance Committee action during this session are waning, staff are continuing to work on the details of an energy tax package, so that the text will be “on the shelf” in case the Finance leadership does decide to move forward in September.   </w:t>
      </w:r>
    </w:p>
    <w:p>
      <w:pPr>
        <w:pStyle w:val="BodyText"/>
        <w:rPr/>
      </w:pPr>
      <w:r>
        <w:rPr/>
      </w:r>
    </w:p>
    <w:p>
      <w:pPr>
        <w:pStyle w:val="BodyText"/>
        <w:rPr/>
      </w:pPr>
      <w:r>
        <w:rPr/>
        <w:t xml:space="preserve">For Task Force members who would like to share their views with Congress, now is the time to write to members of the Finance and/or Energy Committees.  For membership lists for these and other Congressional committees, go to: </w:t>
      </w:r>
      <w:r>
        <w:rPr>
          <w:b/>
        </w:rPr>
        <w:t>http://thomas.loc.gov/</w:t>
      </w:r>
    </w:p>
    <w:p>
      <w:pPr>
        <w:pStyle w:val="Normal"/>
        <w:rPr>
          <w:sz w:val="24"/>
          <w:u w:val="single"/>
        </w:rPr>
      </w:pPr>
      <w:r>
        <w:rPr>
          <w:sz w:val="24"/>
          <w:u w:val="single"/>
        </w:rPr>
      </w:r>
    </w:p>
    <w:p>
      <w:pPr>
        <w:pStyle w:val="Normal"/>
        <w:rPr>
          <w:sz w:val="24"/>
          <w:u w:val="single"/>
        </w:rPr>
      </w:pPr>
      <w:r>
        <w:rPr>
          <w:sz w:val="24"/>
          <w:u w:val="single"/>
        </w:rPr>
      </w:r>
    </w:p>
    <w:p>
      <w:pPr>
        <w:pStyle w:val="Normal"/>
        <w:rPr>
          <w:sz w:val="24"/>
          <w:u w:val="single"/>
        </w:rPr>
      </w:pPr>
      <w:r>
        <w:rPr>
          <w:sz w:val="24"/>
          <w:u w:val="single"/>
        </w:rPr>
      </w:r>
    </w:p>
    <w:p>
      <w:pPr>
        <w:pStyle w:val="Normal"/>
        <w:rPr>
          <w:sz w:val="24"/>
          <w:u w:val="single"/>
        </w:rPr>
      </w:pPr>
      <w:r>
        <w:rPr>
          <w:sz w:val="24"/>
          <w:u w:val="single"/>
        </w:rPr>
      </w:r>
    </w:p>
    <w:p>
      <w:pPr>
        <w:pStyle w:val="Heading8"/>
        <w:pBdr>
          <w:top w:val="single" w:sz="4" w:space="1" w:color="000000"/>
          <w:left w:val="single" w:sz="4" w:space="4" w:color="000000"/>
          <w:bottom w:val="single" w:sz="4" w:space="1" w:color="000000"/>
          <w:right w:val="single" w:sz="4" w:space="4" w:color="000000"/>
        </w:pBdr>
        <w:ind w:hanging="0" w:start="0"/>
        <w:jc w:val="center"/>
        <w:rPr/>
      </w:pPr>
      <w:r>
        <w:rPr/>
        <w:t>This analysis was prepared by</w:t>
      </w:r>
    </w:p>
    <w:p>
      <w:pPr>
        <w:pStyle w:val="Normal"/>
        <w:pBdr>
          <w:top w:val="single" w:sz="4" w:space="1" w:color="000000"/>
          <w:left w:val="single" w:sz="4" w:space="4" w:color="000000"/>
          <w:bottom w:val="single" w:sz="4" w:space="1" w:color="000000"/>
          <w:right w:val="single" w:sz="4" w:space="4" w:color="000000"/>
        </w:pBdr>
        <w:jc w:val="center"/>
        <w:rPr>
          <w:b/>
          <w:i/>
          <w:i/>
          <w:sz w:val="24"/>
        </w:rPr>
      </w:pPr>
      <w:r>
        <w:rPr>
          <w:b/>
          <w:i/>
          <w:sz w:val="24"/>
        </w:rPr>
        <w:t>CAEM Distributed Energy Task Force Director Beverly Jones</w:t>
      </w:r>
    </w:p>
    <w:p>
      <w:pPr>
        <w:pStyle w:val="Normal"/>
        <w:pBdr>
          <w:top w:val="single" w:sz="4" w:space="1" w:color="000000"/>
          <w:left w:val="single" w:sz="4" w:space="4" w:color="000000"/>
          <w:bottom w:val="single" w:sz="4" w:space="1" w:color="000000"/>
          <w:right w:val="single" w:sz="4" w:space="4" w:color="000000"/>
        </w:pBdr>
        <w:jc w:val="center"/>
        <w:rPr>
          <w:b/>
          <w:i/>
          <w:i/>
          <w:sz w:val="24"/>
        </w:rPr>
      </w:pPr>
      <w:r>
        <w:rPr>
          <w:b/>
          <w:i/>
          <w:sz w:val="24"/>
        </w:rPr>
        <w:t>Of Adams and Reese, LLP</w:t>
      </w:r>
    </w:p>
    <w:p>
      <w:pPr>
        <w:pStyle w:val="Normal"/>
        <w:pBdr>
          <w:top w:val="single" w:sz="4" w:space="1" w:color="000000"/>
          <w:left w:val="single" w:sz="4" w:space="4" w:color="000000"/>
          <w:bottom w:val="single" w:sz="4" w:space="1" w:color="000000"/>
          <w:right w:val="single" w:sz="4" w:space="4" w:color="000000"/>
        </w:pBdr>
        <w:jc w:val="center"/>
        <w:rPr>
          <w:b/>
          <w:i/>
          <w:i/>
          <w:sz w:val="24"/>
        </w:rPr>
      </w:pPr>
      <w:r>
        <w:rPr>
          <w:b/>
          <w:i/>
          <w:sz w:val="24"/>
        </w:rPr>
        <w:t>Task Force members are invited to direct questions or comments to jonesbe@arlaw.com</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99060"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99060"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8pt;height:16.1pt;mso-wrap-distance-left:0pt;mso-wrap-distance-right:0pt;mso-wrap-distance-top:0pt;mso-wrap-distance-bottom:0pt;margin-top:0.05pt;mso-position-vertical-relative:text;margin-left:424.2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8"/>
      <w:szCs w:val="20"/>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jc w:val="center"/>
      <w:outlineLvl w:val="0"/>
    </w:pPr>
    <w:rPr>
      <w:b/>
      <w:u w:val="single"/>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outlineLvl w:val="4"/>
    </w:pPr>
    <w:rPr>
      <w:b/>
      <w:color w:val="000000"/>
      <w:sz w:val="24"/>
      <w:u w:val="single"/>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outlineLvl w:val="6"/>
    </w:pPr>
    <w:rPr>
      <w:b/>
      <w:sz w:val="24"/>
      <w:u w:val="single"/>
    </w:rPr>
  </w:style>
  <w:style w:type="paragraph" w:styleId="Heading8">
    <w:name w:val="heading 8"/>
    <w:basedOn w:val="Normal"/>
    <w:next w:val="Normal"/>
    <w:qFormat/>
    <w:pPr>
      <w:keepNext w:val="true"/>
      <w:numPr>
        <w:ilvl w:val="7"/>
        <w:numId w:val="1"/>
      </w:numPr>
      <w:outlineLvl w:val="7"/>
    </w:pPr>
    <w:rPr>
      <w:b/>
      <w:i/>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jc w:val="center"/>
    </w:pPr>
    <w:rPr>
      <w:b/>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2001-08-23T17:24:00Z</dcterms:created>
  <dc:creator>A&amp;R1390</dc:creator>
  <dc:description/>
  <dc:language>en-CA</dc:language>
  <cp:lastModifiedBy>Jamie Wimberly</cp:lastModifiedBy>
  <cp:lastPrinted>2001-08-17T12:50:00Z</cp:lastPrinted>
  <dcterms:modified xsi:type="dcterms:W3CDTF">2001-08-27T15:00:00Z</dcterms:modified>
  <cp:revision>4</cp:revision>
  <dc:subject/>
  <dc:title>CAEM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-1547780997</vt:r8>
  </property>
  <property fmtid="{D5CDD505-2E9C-101B-9397-08002B2CF9AE}" pid="3" name="_AuthorEmail">
    <vt:lpwstr>Benjamin.Wimberly@Verizon.net</vt:lpwstr>
  </property>
  <property fmtid="{D5CDD505-2E9C-101B-9397-08002B2CF9AE}" pid="4" name="_AuthorEmailDisplayName">
    <vt:lpwstr>Jamie Wimberly</vt:lpwstr>
  </property>
  <property fmtid="{D5CDD505-2E9C-101B-9397-08002B2CF9AE}" pid="5" name="_EmailSubject">
    <vt:lpwstr>Response from Jamie Wimberly</vt:lpwstr>
  </property>
</Properties>
</file>