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6"/>
        </w:rPr>
      </w:pPr>
      <w:r>
        <w:rPr>
          <w:sz w:val="36"/>
        </w:rPr>
        <w:t>DEMARC ALLOCATION REVIEW</w:t>
      </w:r>
    </w:p>
    <w:p>
      <w:pPr>
        <w:pStyle w:val="Heading"/>
        <w:rPr>
          <w:sz w:val="36"/>
        </w:rPr>
      </w:pPr>
      <w:r>
        <w:rPr>
          <w:sz w:val="36"/>
        </w:rPr>
        <w:t>10/16/2001  -  DRAFT</w:t>
      </w:r>
    </w:p>
    <w:p>
      <w:pPr>
        <w:pStyle w:val="Heading"/>
        <w:rPr>
          <w:sz w:val="36"/>
        </w:rPr>
      </w:pPr>
      <w:r>
        <w:rPr>
          <w:sz w:val="36"/>
        </w:rPr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>Demarc tariff allocation is performed after all point and group allocations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 xml:space="preserve">Demarc tariff allocation is performed simultaneously on receipt and delivery 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>The pipe is balanced once the allocation is completed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>Firm gas could be cut due to balancing (based on customer ranking) and confirmations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>Field to Market paths that do not stop at Demarc will be split by the computer system based on firm entitlement in the field and in the market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>Storage Balancing (SBS) will not be available during the allocation and will remain unavailable for the remainder of the gas day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>The Mid 17 Pool take away transportation contract will dictate gas type and MDQ for nominations from Demarc to Mid 17 Pool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>Storage nominations are not included in the Demarc allocation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4"/>
        </w:numPr>
        <w:rPr>
          <w:sz w:val="32"/>
        </w:rPr>
      </w:pPr>
      <w:r>
        <w:rPr>
          <w:sz w:val="32"/>
        </w:rPr>
        <w:t>Short term sustainable Firm once scheduled during the timely cycle is treated as Firm for the remainder of the gas day.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0" w:after="80"/>
        <w:rPr>
          <w:sz w:val="32"/>
          <w:szCs w:val="20"/>
        </w:rPr>
      </w:pPr>
      <w:r>
        <w:rPr>
          <w:sz w:val="32"/>
        </w:rPr>
        <w:t xml:space="preserve">.  The Trailblazer point (POI 1318) will also be considered as       </w:t>
      </w:r>
    </w:p>
    <w:p>
      <w:pPr>
        <w:pStyle w:val="Normal"/>
        <w:tabs>
          <w:tab w:val="clear" w:pos="720"/>
          <w:tab w:val="left" w:pos="360" w:leader="none"/>
        </w:tabs>
        <w:spacing w:before="0" w:after="80"/>
        <w:ind w:start="360" w:end="0"/>
        <w:rPr>
          <w:sz w:val="32"/>
          <w:szCs w:val="20"/>
        </w:rPr>
      </w:pPr>
      <w:r>
        <w:rPr>
          <w:sz w:val="32"/>
        </w:rPr>
        <w:tab/>
        <w:t xml:space="preserve">    a market area receipt point.</w:t>
      </w:r>
    </w:p>
    <w:p>
      <w:pPr>
        <w:pStyle w:val="Normal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.  Protected points when delivering gas to Demarc or Demarc    </w:t>
      </w:r>
    </w:p>
    <w:p>
      <w:pPr>
        <w:pStyle w:val="Normal"/>
        <w:ind w:start="720" w:end="0"/>
        <w:rPr>
          <w:sz w:val="32"/>
        </w:rPr>
      </w:pPr>
      <w:r>
        <w:rPr>
          <w:sz w:val="32"/>
        </w:rPr>
        <w:t xml:space="preserve">   </w:t>
      </w:r>
      <w:r>
        <w:rPr>
          <w:sz w:val="32"/>
        </w:rPr>
        <w:t>storage:</w:t>
      </w:r>
    </w:p>
    <w:p>
      <w:pPr>
        <w:pStyle w:val="Normal"/>
        <w:spacing w:lineRule="atLeast" w:line="240"/>
        <w:rPr>
          <w:sz w:val="32"/>
        </w:rPr>
      </w:pPr>
      <w:r>
        <w:rPr>
          <w:sz w:val="32"/>
        </w:rPr>
      </w:r>
    </w:p>
    <w:p>
      <w:pPr>
        <w:pStyle w:val="Normal"/>
        <w:spacing w:lineRule="atLeast" w:line="240"/>
        <w:rPr>
          <w:sz w:val="20"/>
          <w:szCs w:val="20"/>
        </w:rPr>
      </w:pPr>
      <w:r>
        <w:rPr>
          <w:sz w:val="32"/>
        </w:rPr>
        <w:tab/>
      </w:r>
      <w:r>
        <w:rPr>
          <w:color w:val="000000"/>
        </w:rPr>
        <w:t>98</w:t>
        <w:tab/>
        <w:t>Ogden Deferred Delivery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192</w:t>
        <w:tab/>
        <w:t xml:space="preserve">NBPL/NNG Ventura </w:t>
        <w:tab/>
      </w:r>
    </w:p>
    <w:p>
      <w:pPr>
        <w:pStyle w:val="Normal"/>
        <w:numPr>
          <w:ilvl w:val="0"/>
          <w:numId w:val="3"/>
        </w:numPr>
        <w:spacing w:lineRule="atLeast" w:line="240"/>
        <w:rPr>
          <w:color w:val="000000"/>
        </w:rPr>
      </w:pPr>
      <w:r>
        <w:rPr>
          <w:color w:val="000000"/>
        </w:rPr>
        <w:t>NBPL/NNG Aberdeen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tLeast" w:line="240"/>
        <w:ind w:hanging="720" w:start="1440" w:end="0"/>
        <w:rPr>
          <w:color w:val="000000"/>
          <w:szCs w:val="14"/>
        </w:rPr>
      </w:pPr>
      <w:r>
        <w:rPr>
          <w:color w:val="000000"/>
          <w:szCs w:val="14"/>
        </w:rPr>
        <w:t>Viking/Chisago Isanti</w:t>
      </w:r>
    </w:p>
    <w:p>
      <w:pPr>
        <w:pStyle w:val="Normal"/>
        <w:tabs>
          <w:tab w:val="left" w:pos="720" w:leader="none"/>
        </w:tabs>
        <w:spacing w:lineRule="atLeast" w:line="240"/>
        <w:rPr>
          <w:sz w:val="20"/>
          <w:szCs w:val="20"/>
        </w:rPr>
      </w:pPr>
      <w:r>
        <w:rPr>
          <w:color w:val="000000"/>
        </w:rPr>
        <w:tab/>
        <w:t>197</w:t>
      </w:r>
      <w:r>
        <w:rPr>
          <w:color w:val="000000"/>
          <w:sz w:val="14"/>
          <w:szCs w:val="14"/>
        </w:rPr>
        <w:t xml:space="preserve">               </w:t>
      </w:r>
      <w:r>
        <w:rPr>
          <w:color w:val="000000"/>
        </w:rPr>
        <w:t>NGPL/NNG Glenwood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204</w:t>
        <w:tab/>
        <w:t>NBPL/NNG Marshall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210</w:t>
        <w:tab/>
        <w:t>NNG/KN Milligan (Fillmore) Bi-directional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388</w:t>
        <w:tab/>
        <w:t>GRLKS/NNG Carlton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922</w:t>
        <w:tab/>
        <w:t>Medford Storage</w:t>
      </w:r>
    </w:p>
    <w:p>
      <w:pPr>
        <w:pStyle w:val="Normal"/>
        <w:tabs>
          <w:tab w:val="left" w:pos="720" w:leader="none"/>
        </w:tabs>
        <w:spacing w:lineRule="atLeast" w:line="240"/>
        <w:rPr>
          <w:sz w:val="20"/>
          <w:szCs w:val="20"/>
        </w:rPr>
      </w:pPr>
      <w:r>
        <w:rPr>
          <w:color w:val="000000"/>
        </w:rPr>
        <w:tab/>
        <w:t>1665</w:t>
      </w:r>
      <w:r>
        <w:rPr>
          <w:color w:val="000000"/>
          <w:sz w:val="14"/>
          <w:szCs w:val="14"/>
        </w:rPr>
        <w:t xml:space="preserve">        </w:t>
      </w:r>
      <w:r>
        <w:rPr>
          <w:color w:val="000000"/>
        </w:rPr>
        <w:t>NBPL/NNG Welcome</w:t>
      </w:r>
    </w:p>
    <w:p>
      <w:pPr>
        <w:pStyle w:val="Normal"/>
        <w:spacing w:lineRule="atLeast" w:line="240"/>
        <w:ind w:firstLine="720" w:end="0"/>
        <w:rPr>
          <w:sz w:val="20"/>
          <w:szCs w:val="20"/>
        </w:rPr>
      </w:pPr>
      <w:r>
        <w:rPr>
          <w:color w:val="000000"/>
        </w:rPr>
        <w:t>21972</w:t>
        <w:tab/>
        <w:t>Wakefield GRLS/NNG ITE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57398</w:t>
        <w:tab/>
        <w:t>NBPL/NNG Ivanhoe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57399</w:t>
        <w:tab/>
        <w:t>NBPL/NNG Webster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57582</w:t>
        <w:tab/>
        <w:t>NBPL/NNG Valve #51 Ledyard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59264</w:t>
        <w:tab/>
        <w:t>NBPL/NNG Melbank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59265</w:t>
        <w:tab/>
        <w:t>NBPL/NNG Westbrook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60460</w:t>
        <w:tab/>
        <w:t>NBPL/NNG Reverse Auction Point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61667</w:t>
        <w:tab/>
        <w:t>NNG/VIKING Pierz Interconnect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61969</w:t>
        <w:tab/>
        <w:t>SBA – MID 17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62389</w:t>
        <w:tab/>
        <w:t>Demarc Deferred Delivery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62983</w:t>
        <w:tab/>
        <w:t>NNG/VIKING Polk Interconnect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60229</w:t>
        <w:tab/>
        <w:t>NBPL/NNG Grundy Center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71458  MID 17 Pool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71459  MID 17 Pool Storage</w:t>
      </w:r>
    </w:p>
    <w:p>
      <w:pPr>
        <w:pStyle w:val="Normal"/>
        <w:spacing w:lineRule="atLeast" w:line="240"/>
        <w:ind w:start="720" w:end="0"/>
        <w:rPr>
          <w:sz w:val="20"/>
          <w:szCs w:val="20"/>
        </w:rPr>
      </w:pPr>
      <w:r>
        <w:rPr>
          <w:color w:val="000000"/>
        </w:rPr>
        <w:t>71460  Ventura Deferred Delivery</w:t>
      </w:r>
    </w:p>
    <w:p>
      <w:pPr>
        <w:pStyle w:val="Normal"/>
        <w:rPr>
          <w:sz w:val="32"/>
          <w:szCs w:val="20"/>
        </w:rPr>
      </w:pPr>
      <w:r>
        <w:rPr>
          <w:sz w:val="32"/>
          <w:szCs w:val="20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ind w:start="360" w:end="0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96"/>
      <w:numFmt w:val="decimal"/>
      <w:lvlText w:val="%1"/>
      <w:lvlJc w:val="start"/>
      <w:pPr>
        <w:tabs>
          <w:tab w:val="num" w:pos="720"/>
        </w:tabs>
        <w:ind w:start="720" w:hanging="720"/>
      </w:pPr>
    </w:lvl>
  </w:abstractNum>
  <w:abstractNum w:abstractNumId="2">
    <w:lvl w:ilvl="0">
      <w:start w:val="10"/>
      <w:numFmt w:val="decimal"/>
      <w:lvlText w:val="%1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93"/>
      <w:numFmt w:val="decimal"/>
      <w:lvlText w:val="%1"/>
      <w:lvlJc w:val="start"/>
      <w:pPr>
        <w:tabs>
          <w:tab w:val="num" w:pos="1440"/>
        </w:tabs>
        <w:ind w:start="1440" w:hanging="7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2001-10-12T13:06:00Z</dcterms:created>
  <dc:creator>lblair</dc:creator>
  <dc:description/>
  <dc:language>en-CA</dc:language>
  <cp:lastModifiedBy>lblair</cp:lastModifiedBy>
  <cp:lastPrinted>2001-10-12T17:03:00Z</cp:lastPrinted>
  <dcterms:modified xsi:type="dcterms:W3CDTF">2001-10-12T19:36:00Z</dcterms:modified>
  <cp:revision>4</cp:revision>
  <dc:subject/>
  <dc:title>DEMARC ALLOCATION</dc:title>
</cp:coreProperties>
</file>