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ct" ContentType="image/x-pi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10"/>
        </w:rPr>
      </w:pPr>
      <w:r>
        <w:rPr>
          <w:rFonts w:eastAsia="Clearface Gothic MT Bold;Courier New" w:cs="Clearface Gothic MT Bold;Courier New" w:ascii="Clearface Gothic MT Bold;Courier New" w:hAnsi="Clearface Gothic MT Bold;Courier New"/>
          <w:smallCaps/>
          <w:sz w:val="120"/>
        </w:rPr>
        <w:t xml:space="preserve"> </w:t>
      </w:r>
      <w:r>
        <w:rPr>
          <w:rFonts w:eastAsia="Times New Roman"/>
        </w:rPr>
        <w:drawing>
          <wp:inline distT="0" distB="0" distL="0" distR="0">
            <wp:extent cx="1130300" cy="1000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20" t="-1515" r="-1220" b="-1515"/>
                    <a:stretch>
                      <a:fillRect/>
                    </a:stretch>
                  </pic:blipFill>
                  <pic:spPr bwMode="auto">
                    <a:xfrm>
                      <a:off x="0" y="0"/>
                      <a:ext cx="1130300" cy="10001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1371600</wp:posOffset>
                </wp:positionH>
                <wp:positionV relativeFrom="paragraph">
                  <wp:posOffset>91440</wp:posOffset>
                </wp:positionV>
                <wp:extent cx="4114800" cy="822960"/>
                <wp:effectExtent l="0" t="0" r="0" b="0"/>
                <wp:wrapNone/>
                <wp:docPr id="2" name="Frame1"/>
                <a:graphic xmlns:a="http://schemas.openxmlformats.org/drawingml/2006/main">
                  <a:graphicData uri="http://schemas.microsoft.com/office/word/2010/wordprocessingShape">
                    <wps:wsp>
                      <wps:cNvSpPr txBox="1"/>
                      <wps:spPr>
                        <a:xfrm>
                          <a:off x="0" y="0"/>
                          <a:ext cx="4114800" cy="822960"/>
                        </a:xfrm>
                        <a:prstGeom prst="rect"/>
                        <a:solidFill>
                          <a:srgbClr val="FFFFFF">
                            <a:alpha val="0"/>
                          </a:srgbClr>
                        </a:solidFill>
                      </wps:spPr>
                      <wps:txbx>
                        <w:txbxContent>
                          <w:p>
                            <w:pPr>
                              <w:pStyle w:val="Heading3"/>
                              <w:ind w:hanging="0" w:start="0"/>
                              <w:rPr/>
                            </w:pPr>
                            <w:r>
                              <w:rPr>
                                <w:rFonts w:eastAsia="Calisto MT Italic;Courier New"/>
                                <w:b/>
                                <w:sz w:val="60"/>
                              </w:rPr>
                              <w:t xml:space="preserve"> </w:t>
                            </w:r>
                            <w:r>
                              <w:rPr>
                                <w:rFonts w:cs="Times New Roman" w:ascii="Times New Roman" w:hAnsi="Times New Roman"/>
                                <w:b/>
                                <w:i/>
                                <w:sz w:val="96"/>
                              </w:rPr>
                              <w:t>IPPNY</w:t>
                            </w:r>
                          </w:p>
                        </w:txbxContent>
                      </wps:txbx>
                      <wps:bodyPr anchor="t" lIns="92075" tIns="46355" rIns="92075" bIns="46355">
                        <a:noAutofit/>
                      </wps:bodyPr>
                    </wps:wsp>
                  </a:graphicData>
                </a:graphic>
              </wp:anchor>
            </w:drawing>
          </mc:Choice>
          <mc:Fallback>
            <w:pict>
              <v:rect fillcolor="#FFFFFF" style="position:absolute;rotation:-0;width:324pt;height:64.8pt;mso-wrap-distance-left:9.05pt;mso-wrap-distance-right:9.05pt;mso-wrap-distance-top:0pt;mso-wrap-distance-bottom:0pt;margin-top:7.2pt;mso-position-vertical-relative:text;margin-left:108pt;mso-position-horizontal-relative:text">
                <v:fill opacity="0f"/>
                <v:textbox inset="0.100694444444444in,0.0506944444444444in,0.100694444444444in,0.0506944444444444in">
                  <w:txbxContent>
                    <w:p>
                      <w:pPr>
                        <w:pStyle w:val="Heading3"/>
                        <w:ind w:hanging="0" w:start="0"/>
                        <w:rPr/>
                      </w:pPr>
                      <w:r>
                        <w:rPr>
                          <w:rFonts w:eastAsia="Calisto MT Italic;Courier New"/>
                          <w:b/>
                          <w:sz w:val="60"/>
                        </w:rPr>
                        <w:t xml:space="preserve"> </w:t>
                      </w:r>
                      <w:r>
                        <w:rPr>
                          <w:rFonts w:cs="Times New Roman" w:ascii="Times New Roman" w:hAnsi="Times New Roman"/>
                          <w:b/>
                          <w:i/>
                          <w:sz w:val="96"/>
                        </w:rPr>
                        <w:t>IPPNY</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1554480</wp:posOffset>
                </wp:positionH>
                <wp:positionV relativeFrom="paragraph">
                  <wp:posOffset>457200</wp:posOffset>
                </wp:positionV>
                <wp:extent cx="3017520" cy="731520"/>
                <wp:effectExtent l="0" t="0" r="0" b="0"/>
                <wp:wrapNone/>
                <wp:docPr id="3" name="Frame2"/>
                <a:graphic xmlns:a="http://schemas.openxmlformats.org/drawingml/2006/main">
                  <a:graphicData uri="http://schemas.microsoft.com/office/word/2010/wordprocessingShape">
                    <wps:wsp>
                      <wps:cNvSpPr txBox="1"/>
                      <wps:spPr>
                        <a:xfrm>
                          <a:off x="0" y="0"/>
                          <a:ext cx="3017520" cy="731520"/>
                        </a:xfrm>
                        <a:prstGeom prst="rect"/>
                        <a:solidFill>
                          <a:srgbClr val="FFFFFF">
                            <a:alpha val="0"/>
                          </a:srgbClr>
                        </a:solidFill>
                      </wps:spPr>
                      <wps:txbx>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Independent Power Producers of New York, Inc.</w:t>
                            </w:r>
                          </w:p>
                        </w:txbxContent>
                      </wps:txbx>
                      <wps:bodyPr anchor="t" lIns="92075" tIns="46355" rIns="92075" bIns="46355">
                        <a:noAutofit/>
                      </wps:bodyPr>
                    </wps:wsp>
                  </a:graphicData>
                </a:graphic>
              </wp:anchor>
            </w:drawing>
          </mc:Choice>
          <mc:Fallback>
            <w:pict>
              <v:rect fillcolor="#FFFFFF" style="position:absolute;rotation:-0;width:237.6pt;height:57.6pt;mso-wrap-distance-left:9.05pt;mso-wrap-distance-right:9.05pt;mso-wrap-distance-top:0pt;mso-wrap-distance-bottom:0pt;margin-top:36pt;mso-position-vertical-relative:text;margin-left:122.4pt;mso-position-horizontal-relative:text">
                <v:fill opacity="0f"/>
                <v:textbox inset="0.100694444444444in,0.0506944444444444in,0.100694444444444in,0.0506944444444444in">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Independent Power Producers of New York, Inc.</w:t>
                      </w:r>
                    </w:p>
                  </w:txbxContent>
                </v:textbox>
                <w10:wrap type="none"/>
              </v:rect>
            </w:pict>
          </mc:Fallback>
        </mc:AlternateContent>
      </w:r>
    </w:p>
    <w:p>
      <w:pPr>
        <w:pStyle w:val="Normal"/>
        <w:tabs>
          <w:tab w:val="clear" w:pos="720"/>
          <w:tab w:val="left" w:pos="1000" w:leader="none"/>
        </w:tabs>
        <w:rPr>
          <w:rFonts w:eastAsia="Times New Roman"/>
          <w:sz w:val="110"/>
        </w:rPr>
      </w:pPr>
      <w:r>
        <w:rPr>
          <w:rFonts w:eastAsia="Times New Roman"/>
          <w:sz w:val="110"/>
        </w:rPr>
      </w:r>
    </w:p>
    <w:p>
      <w:pPr>
        <w:pStyle w:val="Salutation"/>
        <w:tabs>
          <w:tab w:val="clear" w:pos="720"/>
          <w:tab w:val="left" w:pos="1000" w:leader="none"/>
        </w:tabs>
        <w:rPr>
          <w:rFonts w:eastAsia="Times New Roman"/>
        </w:rPr>
      </w:pPr>
      <w:r>
        <w:rPr>
          <w:rFonts w:eastAsia="Times New Roman"/>
        </w:rPr>
      </w:r>
    </w:p>
    <w:p>
      <w:pPr>
        <w:pStyle w:val="Normal"/>
        <w:tabs>
          <w:tab w:val="clear" w:pos="720"/>
          <w:tab w:val="left" w:pos="1000" w:leader="none"/>
        </w:tabs>
        <w:rPr>
          <w:rFonts w:eastAsia="Times New Roman"/>
        </w:rPr>
      </w:pPr>
      <w:r>
        <w:rPr>
          <w:rFonts w:eastAsia="Times New Roman"/>
        </w:rPr>
      </w:r>
    </w:p>
    <w:p>
      <w:pPr>
        <w:pStyle w:val="Date"/>
        <w:rPr/>
      </w:pPr>
      <w:r>
        <w:rPr/>
        <w:t>June 18, 2001</w:t>
      </w:r>
    </w:p>
    <w:p>
      <w:pPr>
        <w:pStyle w:val="Normal"/>
        <w:rPr>
          <w:rFonts w:ascii="Times New Roman" w:hAnsi="Times New Roman" w:cs="Times New Roman"/>
          <w:color w:val="000000"/>
        </w:rPr>
      </w:pPr>
      <w:r>
        <w:rPr>
          <w:rFonts w:cs="Times New Roman" w:ascii="Times New Roman" w:hAnsi="Times New Roman"/>
          <w:color w:val="000000"/>
        </w:rPr>
      </w:r>
    </w:p>
    <w:p>
      <w:pPr>
        <w:pStyle w:val="InsideAddress"/>
        <w:rPr/>
      </w:pPr>
      <w:r>
        <w:rPr/>
        <w:t>Mr. Paul DeCotis</w:t>
      </w:r>
    </w:p>
    <w:p>
      <w:pPr>
        <w:pStyle w:val="InsideAddress"/>
        <w:rPr/>
      </w:pPr>
      <w:r>
        <w:rPr/>
        <w:t>New York State Energy Planning Board</w:t>
      </w:r>
    </w:p>
    <w:p>
      <w:pPr>
        <w:pStyle w:val="InsideAddress"/>
        <w:rPr/>
      </w:pPr>
      <w:r>
        <w:rPr/>
        <w:t>Corporate Plaza West</w:t>
      </w:r>
    </w:p>
    <w:p>
      <w:pPr>
        <w:pStyle w:val="InsideAddress"/>
        <w:rPr/>
      </w:pPr>
      <w:r>
        <w:rPr/>
        <w:t>286 Washington Avenue Extension</w:t>
      </w:r>
    </w:p>
    <w:p>
      <w:pPr>
        <w:pStyle w:val="InsideAddress"/>
        <w:rPr/>
      </w:pPr>
      <w:r>
        <w:rPr/>
        <w:t>Albany, New York 12203-6399</w:t>
      </w:r>
    </w:p>
    <w:p>
      <w:pPr>
        <w:pStyle w:val="Normal"/>
        <w:rPr>
          <w:rFonts w:ascii="Times New Roman" w:hAnsi="Times New Roman" w:cs="Times New Roman"/>
          <w:color w:val="000000"/>
        </w:rPr>
      </w:pPr>
      <w:r>
        <w:rPr>
          <w:rFonts w:cs="Times New Roman" w:ascii="Times New Roman" w:hAnsi="Times New Roman"/>
          <w:color w:val="000000"/>
        </w:rPr>
      </w:r>
    </w:p>
    <w:p>
      <w:pPr>
        <w:pStyle w:val="ReferenceLine"/>
        <w:rPr/>
      </w:pPr>
      <w:r>
        <w:rPr/>
        <w:t>Re: IPPNY Comments on 2002 State Energy Plan</w:t>
      </w:r>
    </w:p>
    <w:p>
      <w:pPr>
        <w:pStyle w:val="Normal"/>
        <w:rPr>
          <w:rFonts w:ascii="Times New Roman" w:hAnsi="Times New Roman" w:cs="Times New Roman"/>
          <w:color w:val="000000"/>
        </w:rPr>
      </w:pPr>
      <w:r>
        <w:rPr>
          <w:rFonts w:cs="Times New Roman" w:ascii="Times New Roman" w:hAnsi="Times New Roman"/>
          <w:color w:val="000000"/>
        </w:rPr>
      </w:r>
    </w:p>
    <w:p>
      <w:pPr>
        <w:pStyle w:val="Salutation"/>
        <w:rPr/>
      </w:pPr>
      <w:r>
        <w:rPr/>
        <w:t>Dear Mr. DeCotis:</w:t>
      </w:r>
    </w:p>
    <w:p>
      <w:pPr>
        <w:pStyle w:val="Normal"/>
        <w:rPr>
          <w:rFonts w:ascii="Times New Roman" w:hAnsi="Times New Roman" w:cs="Times New Roman"/>
          <w:color w:val="000000"/>
        </w:rPr>
      </w:pPr>
      <w:r>
        <w:rPr>
          <w:rFonts w:cs="Times New Roman" w:ascii="Times New Roman" w:hAnsi="Times New Roman"/>
          <w:color w:val="000000"/>
        </w:rPr>
      </w:r>
    </w:p>
    <w:p>
      <w:pPr>
        <w:pStyle w:val="BodyText"/>
        <w:rPr/>
      </w:pPr>
      <w:r>
        <w:rPr/>
        <w:t>The Independent Power Producers of New York, Inc., (IPPNY), a trade association representing power marketers, generators and suppliers of goods and services to the electricity industry in New York, whose members own over seventy percent of the electric generation capacity in New York State, is pleased to offer the following comments for the New York State Energy Planning Board’s (Board) consideration as it develops its 2002 State Energy Plan (Plan).  IPPNY has organized its comments to respond to the six major areas of inquiry outlined in the Board’s request for comments.</w:t>
      </w:r>
    </w:p>
    <w:p>
      <w:pPr>
        <w:pStyle w:val="List"/>
        <w:rPr/>
      </w:pPr>
      <w:r>
        <w:rPr/>
        <w:t>1.</w:t>
        <w:tab/>
        <w:t>The effects of energy industry competition on the development of energy markets and energy prices, facility planning and siting, and the interrelationships among energy sources, including electricity, natural gas, and petroleum products.</w:t>
      </w:r>
    </w:p>
    <w:p>
      <w:pPr>
        <w:pStyle w:val="Normal"/>
        <w:rPr>
          <w:rFonts w:ascii="Times New Roman" w:hAnsi="Times New Roman" w:cs="Times New Roman"/>
          <w:color w:val="000000"/>
        </w:rPr>
      </w:pPr>
      <w:r>
        <w:rPr>
          <w:rFonts w:cs="Times New Roman" w:ascii="Times New Roman" w:hAnsi="Times New Roman"/>
          <w:color w:val="000000"/>
        </w:rPr>
      </w:r>
    </w:p>
    <w:p>
      <w:pPr>
        <w:pStyle w:val="ListContinue"/>
        <w:rPr/>
      </w:pPr>
      <w:r>
        <w:rPr/>
        <w:t>Encourage Competition and the Construction of New Supplies:</w:t>
      </w:r>
    </w:p>
    <w:p>
      <w:pPr>
        <w:pStyle w:val="ListContinue"/>
        <w:rPr/>
      </w:pPr>
      <w:r>
        <w:rPr/>
        <w:t>The Plan should reaffirm the State’s commitment, made in the 1994 and 1998 State Energy Plans, to support the construction of new merchant plants in order to promote competition in the electric supply market.  Competition holds the promise to deliver reliable electric service at the lowest cost, provided that the energy marketplace is permitted to function without artificial and counter-productive price controls.  In order for the full benefit of competition to be realized, however, it is crucial that additional supply sources be constructed in New York.  The growth in the Article X queue of proposed projects since the advent of deregulation in New York is a testament to the fact that the market can and will provide proper incentives for the development and construction of additional generation supply.   Those investing in such facilities have the greatest incentive (and the most at stake) to determine where this generation can best be sited.</w:t>
      </w:r>
    </w:p>
    <w:p>
      <w:pPr>
        <w:pStyle w:val="ListContinue"/>
        <w:rPr/>
      </w:pPr>
      <w:r>
        <w:rPr/>
        <w:t>It is equally important that short-term concerns related to increasing electricity prices due to higher fuel prices and temporary supply/demand imbalances not be permitted to cause the enactment of anti competitive market constraints that will drive existing supplies to other, neighboring markets and away from New York.  California’s recent experience provides ample evidence that implementing constraints on the competitive marketplace will encourage suppliers to exit the market in favor of more attractive, open markets, to the detriment of consumers and electric system reliability.  Moreover,  IPPNY believes the results of the New York Independent System Operator’s (NYISO) most recent installed capacity auction demonstrate that the threat of an ever-expanding list of market controls in New York is driving former external suppliers of installed capacity away from New York.</w:t>
      </w:r>
    </w:p>
    <w:p>
      <w:pPr>
        <w:pStyle w:val="ListContinue"/>
        <w:rPr/>
      </w:pPr>
      <w:r>
        <w:rPr/>
        <w:t>In order for competition to flourish fully, consumers must have the opportunity to recognize and respond to the true costs of their consumption.  This requires retail rate designs (e.g., time-of-use pricing) that send proper price signals to consumers and the development of policies that reward users who reduce consumption at times of peak demand. The Plan should promote such policies.  In addition, IPPNY notes that the creation of multi-year rate freezes stifles competition for retail electricity sales.  This is antithetical to competition and should be discouraged.  Finally, competition can best be advanced by ensuring that the State’s policies do not erect barriers to entry for qualified entities.  A robust market with a diversity of suppliers and fuels will enhance the competitive market.</w:t>
      </w:r>
    </w:p>
    <w:p>
      <w:pPr>
        <w:pStyle w:val="ListContinue"/>
        <w:rPr/>
      </w:pPr>
      <w:r>
        <w:rPr/>
        <w:t>Accordingly, IPPNY encourages the Board to: (1) stress the critical need for policies, procedures and resources necessary to facilitate the expeditious siting and construction of new generation sources within the State, as long as environmental impacts are acceptable, and (2) include in the Plan a firm endorsement of the benefits of competition and a strong caution regarding the dangers of implementing short-term oriented market constraints that will render New York an unattractive atmosphere in which to do business, thereby driving existing and new suppliers to other markets.</w:t>
      </w:r>
    </w:p>
    <w:p>
      <w:pPr>
        <w:pStyle w:val="ListContinue"/>
        <w:rPr/>
      </w:pPr>
      <w:r>
        <w:rPr/>
        <w:t>Fuel Diversity should be promoted:  New York currently enjoys a healthy diversity of supply.  Dual fueled natural gas/oil fired generation facilities represented approximately thirty percent of installed capacity in the State at the time the last State Energy Plan was developed, with hydro, coal and nuclear each contributing over fifteen percent.</w:t>
      </w:r>
    </w:p>
    <w:p>
      <w:pPr>
        <w:pStyle w:val="ListContinue"/>
        <w:rPr/>
      </w:pPr>
      <w:r>
        <w:rPr/>
        <w:t>It is true that virtually all of the facilities proposed for development in New York are to be fueled by natural gas.  IPPNY is aware that the New York Energy Research and Development Authority (∫NYSERDA≈) is commissioning a study of the impact of this increase in natural gas usage on the reliability of the State’s gas and electricity systems.  IPPNY encourages the Board to monitor the progress of that study and to include in the Plan provisions to ensure that policies are adopted to encourage the development of adequate infrastructure to support the increased use of natural gas.</w:t>
      </w:r>
    </w:p>
    <w:p>
      <w:pPr>
        <w:pStyle w:val="ListContinue"/>
        <w:rPr/>
      </w:pPr>
      <w:r>
        <w:rPr/>
        <w:t>IPPNY would also encourage policies to provide incentives (and eliminate recently enacted disincentives) for the developers of natural gas-fired generation projects to design them with dual-fuel capability, so that, for example, a natural gas system malfunction will not adversely affect electric system reliability.  In particular, the New York Public Service Commission last fall enacted a requirement that dual-fueled natural gas plant owners must maintain a ten-day oil backup supply.  This unnecessary requirement imposes additional costs on developers, which must be passed along to consumers.  Moreover, given that oil is perishable, this means such plants will be compelled to burn oil a greater number of days than they otherwise would, with attendant environmental impacts.  The policy is misguided and should be rescinded.  IPPNY would recommend that the Plan condemn this new requirement.</w:t>
      </w:r>
    </w:p>
    <w:p>
      <w:pPr>
        <w:pStyle w:val="ListContinue"/>
        <w:rPr/>
      </w:pPr>
      <w:r>
        <w:rPr/>
        <w:t>Renewable resources also can make a meaningful contribution to fuel diversity and should therefore be encouraged.  In this regard, IPPNY supports the administration’s recently announced intent to expand the use of renewable fueled electricity for State facilities.  However, IPPNY believes that the definition of renewables contemplated in that policy is too limited; it should be expanded to include ˝ in addition to wind, solar, biomass and fuel cells ˝ electricity produced by hydro and waste-to-energy facilities.</w:t>
      </w:r>
    </w:p>
    <w:p>
      <w:pPr>
        <w:pStyle w:val="ListContinue"/>
        <w:rPr/>
      </w:pPr>
      <w:r>
        <w:rPr/>
        <w:t>In addition, IPPNY recommends that the Plan address the relationship between increasingly stringent environmental initiatives and fuel diversity.  In its laudable quest to set a standard for the nation for environmental stewardship, it is important that New York does not enact policies that will result in, for example, the loss or retirement of coal-fired facilities.  Further, IPPNY would applaud the inclusion of language in the Plan supporting the development of clean coal technologies in order to increase the potential use of this prevalent fuel source.</w:t>
      </w:r>
    </w:p>
    <w:p>
      <w:pPr>
        <w:pStyle w:val="ListContinue"/>
        <w:rPr/>
      </w:pPr>
      <w:r>
        <w:rPr/>
        <w:t>Transmission Infrastructure: As discussed above in connection with the NYSERDA study, IPPNY recommends that the Plan support policies that will provide incentives for and facilitate the development of additional natural gas pipeline capacity to and within the State.  In addition, IPPNY believes consideration should be given to designing appropriate incentives for the construction of appropriate electric transmission system upgrades.</w:t>
      </w:r>
    </w:p>
    <w:p>
      <w:pPr>
        <w:pStyle w:val="List"/>
        <w:rPr/>
      </w:pPr>
      <w:r>
        <w:rPr/>
        <w:t>2.</w:t>
        <w:tab/>
        <w:t>Factors that influence New York’s energy prices and rates, including taxes, delivery costs, and infrastructure maintenance, and the effects of energy costs on the competitiveness of New York’s industries and businesses.</w:t>
      </w:r>
    </w:p>
    <w:p>
      <w:pPr>
        <w:pStyle w:val="Normal"/>
        <w:rPr>
          <w:rFonts w:ascii="Times New Roman" w:hAnsi="Times New Roman" w:cs="Times New Roman"/>
          <w:color w:val="000000"/>
        </w:rPr>
      </w:pPr>
      <w:r>
        <w:rPr>
          <w:rFonts w:cs="Times New Roman" w:ascii="Times New Roman" w:hAnsi="Times New Roman"/>
          <w:color w:val="000000"/>
        </w:rPr>
      </w:r>
    </w:p>
    <w:p>
      <w:pPr>
        <w:pStyle w:val="ListContinue"/>
        <w:rPr/>
      </w:pPr>
      <w:r>
        <w:rPr/>
        <w:t>Promote Market Certainty:  As alluded to in response to item 1, above, market uncertainty is the single most significant controllable component affecting electricity costs.  New York cannot control changes in the price of fuel inputs, which are largely determined by national and international factors (although increased pipeline capacity can help hold down natural gas costs).  Nor can the State prevent the occurrence of generation and transmission facility outages that can have a significant impact on electricity prices.</w:t>
      </w:r>
    </w:p>
    <w:p>
      <w:pPr>
        <w:pStyle w:val="ListContinue"/>
        <w:rPr/>
      </w:pPr>
      <w:r>
        <w:rPr/>
        <w:t>However, the State government can and does affect the marketplace in significant ways.  As the law of supply and demand states, the greater the amount of supply relative to demand, the lower will be the price in a competitive market.  Generation developers face a scarcity of turbines and of capital for investment.  They will invest these scarce resources in the markets in which they can best and most reliably forecast a reasonable return on investment.</w:t>
      </w:r>
    </w:p>
    <w:p>
      <w:pPr>
        <w:pStyle w:val="ListContinue"/>
        <w:rPr/>
      </w:pPr>
      <w:r>
        <w:rPr/>
        <w:t>A continually changing regulatory regime, with market rules that are incessantly assailed by the threat of price controls, is a severe impediment to investment.  IPPNY suggests that the Plan recommend regulatory restraint, a renunciation of price controls and a commitment to stay the course towards the complete development of competition.</w:t>
      </w:r>
    </w:p>
    <w:p>
      <w:pPr>
        <w:pStyle w:val="ListContinue"/>
        <w:rPr/>
      </w:pPr>
      <w:r>
        <w:rPr/>
        <w:t>Regional Considerations Must be Weighed:  New York is becoming more and more a regional marketplace for electricity, as it always has been for other equipment and material produced here.  The availability of reasonably priced, reliable electricity is crucial to maintaining and enhancing the competitive position of New York businesses and the State economy.  The Plan should stress the economic benefits associated with the construction of new power plants to both the State and the region.  Additionally, it is important to emphasize that New York is not an island; companies that do business here are competing with companies throughout the region and should not be competitively disadvantaged by New York’s policies.</w:t>
      </w:r>
    </w:p>
    <w:p>
      <w:pPr>
        <w:pStyle w:val="ListContinue"/>
        <w:rPr/>
      </w:pPr>
      <w:r>
        <w:rPr/>
        <w:t>Accordingly, IPPNY encourages recognition of the importance of allowing New York companies to remain competitive with regional companies and the dangers of putting neighboring states at a competitive advantage.</w:t>
      </w:r>
    </w:p>
    <w:p>
      <w:pPr>
        <w:pStyle w:val="ListContinue"/>
        <w:rPr/>
      </w:pPr>
      <w:r>
        <w:rPr/>
        <w:t>Taxes Should be Minimized:  Both energy and property taxes are higher in New York than in neighboring states.  This is one more area where the State is putting its companies and consumers at a competitive disadvantage.  We encourage an examination of the impact of New York State specific taxes on energy prices and regional competitiveness with an eye to reducing this burden on consumers and businesses.</w:t>
      </w:r>
    </w:p>
    <w:p>
      <w:pPr>
        <w:pStyle w:val="List"/>
        <w:rPr/>
      </w:pPr>
      <w:r>
        <w:rPr/>
        <w:t>3.</w:t>
        <w:tab/>
        <w:t>The interactions between energy use and environmental quality, particularly with regard to current trends in environmental regulation, acid rain, and non-air impacts.</w:t>
      </w:r>
    </w:p>
    <w:p>
      <w:pPr>
        <w:pStyle w:val="Normal"/>
        <w:rPr>
          <w:rFonts w:ascii="Times New Roman" w:hAnsi="Times New Roman" w:cs="Times New Roman"/>
          <w:color w:val="000000"/>
        </w:rPr>
      </w:pPr>
      <w:r>
        <w:rPr>
          <w:rFonts w:cs="Times New Roman" w:ascii="Times New Roman" w:hAnsi="Times New Roman"/>
          <w:color w:val="000000"/>
        </w:rPr>
      </w:r>
    </w:p>
    <w:p>
      <w:pPr>
        <w:pStyle w:val="ListContinue"/>
        <w:rPr/>
      </w:pPr>
      <w:r>
        <w:rPr/>
        <w:t>Build New Plants: Building new, state of the art generation facilities will have a salutary effect on environmental quality and help to reduce air emissions associated with electricity production.  New facilities must meet the most stringent environmental constraints and also tend to be much more efficient in their use of fuel.  These factors give them a competitive advantage in the economic dispatch ranking of facilities.  Thus, such facilities will be operated in substitution for other, less efficient facilities with higher emission rates at a given level of demand.  This is one more reason that the Plan should stress the benefits of new plant construction.</w:t>
      </w:r>
    </w:p>
    <w:p>
      <w:pPr>
        <w:pStyle w:val="ListContinue"/>
        <w:rPr/>
      </w:pPr>
      <w:r>
        <w:rPr/>
        <w:t>Brownfields/Repowering: IPPNY strongly believes that the re-use of existing industrial sites should be encouraged.   Companies willing to put these sites to productive uses should not be penalized and should, in fact be encouraged.  Accordingly, IPPNY would strongly support a recommendation that new plants sited on brownfields, and re-powering of current generation facilities be encouraged and expedited.</w:t>
      </w:r>
    </w:p>
    <w:p>
      <w:pPr>
        <w:pStyle w:val="ListContinue"/>
        <w:rPr/>
      </w:pPr>
      <w:r>
        <w:rPr/>
        <w:t>Environmental Regulations and Energy Prices:  Regulatory uncertainty and risk associated with potential new environmental policies and the high cost of complying with strict environmental regulations must be built into the cost of electricity.  For example, in California last summer offsets for one ton of NOx were selling in the neighborhood of $100,000.  Such costs will necessarily raise the price of a MW of electricity.  Thus, the Plan must stress the impact of heightened environmental constraints on the cost of electricity.</w:t>
      </w:r>
    </w:p>
    <w:p>
      <w:pPr>
        <w:pStyle w:val="ListContinue"/>
        <w:rPr/>
      </w:pPr>
      <w:r>
        <w:rPr/>
        <w:t>It is important to realize that in New York City, the primary area of concern with respect to air quality in the State, the contribution of electric generation facilities to air impacts is de minimus when compared to the impact of mobile emission sources like cars, trucks and busses.  The Plan should recommend a careful evaluation of whether more productive and less costly measures directed at these emission sources should be developed instead of new constraints focused on generation sources.</w:t>
      </w:r>
    </w:p>
    <w:p>
      <w:pPr>
        <w:pStyle w:val="ListContinue"/>
        <w:rPr/>
      </w:pPr>
      <w:r>
        <w:rPr/>
        <w:t>Operational Flexibility:  It is important that environmental standards allow plants flexibility in operation, especially in how they comply with environmental regulations.  Command and control policies will result in higher prices and the potential of needed plants being retired from operation. Accordingly, IPPNY supports a recommendation that environmental regulations be structured in a manner to provide the maximum flexibility possible.</w:t>
      </w:r>
    </w:p>
    <w:p>
      <w:pPr>
        <w:pStyle w:val="List"/>
        <w:rPr/>
      </w:pPr>
      <w:r>
        <w:rPr/>
        <w:t>4.</w:t>
        <w:tab/>
        <w:t xml:space="preserve">The interactions between energy use and transportation, particularly with regard to transportation system use and management, technology, and efficiency.  </w:t>
      </w:r>
    </w:p>
    <w:p>
      <w:pPr>
        <w:pStyle w:val="Normal"/>
        <w:rPr>
          <w:rFonts w:ascii="Times New Roman" w:hAnsi="Times New Roman" w:cs="Times New Roman"/>
          <w:color w:val="000000"/>
        </w:rPr>
      </w:pPr>
      <w:r>
        <w:rPr>
          <w:rFonts w:cs="Times New Roman" w:ascii="Times New Roman" w:hAnsi="Times New Roman"/>
          <w:color w:val="000000"/>
        </w:rPr>
      </w:r>
    </w:p>
    <w:p>
      <w:pPr>
        <w:pStyle w:val="ListContinue"/>
        <w:rPr/>
      </w:pPr>
      <w:r>
        <w:rPr/>
        <w:t>Transportation:  As mentioned above, IPPNY believes that from a cost-benefit basis, addressing emissions from mobile sources is more efficient than further reducing allowable emissions from generation facilities.  In addition, increased use of mass transportation and e-commuting can dramatically reduce the State’s use of fossil fuels.  IPPNY would support inclusion in the Plan of support for such policies.</w:t>
      </w:r>
    </w:p>
    <w:p>
      <w:pPr>
        <w:pStyle w:val="List"/>
        <w:rPr/>
      </w:pPr>
      <w:r>
        <w:rPr/>
        <w:t>5.</w:t>
        <w:tab/>
        <w:t>The interactions between energy use and costs, and economic development and State competitiveness in attracting and retaining jobs.</w:t>
      </w:r>
    </w:p>
    <w:p>
      <w:pPr>
        <w:pStyle w:val="Normal"/>
        <w:rPr>
          <w:rFonts w:ascii="Times New Roman" w:hAnsi="Times New Roman" w:cs="Times New Roman"/>
          <w:color w:val="000000"/>
        </w:rPr>
      </w:pPr>
      <w:r>
        <w:rPr>
          <w:rFonts w:cs="Times New Roman" w:ascii="Times New Roman" w:hAnsi="Times New Roman"/>
          <w:color w:val="000000"/>
        </w:rPr>
      </w:r>
    </w:p>
    <w:p>
      <w:pPr>
        <w:pStyle w:val="ListContinue"/>
        <w:rPr/>
      </w:pPr>
      <w:r>
        <w:rPr/>
        <w:t>This has been covered in several of the points above.  To paraphrase concisely, the more electricity generators are forced to pay to be able to generate electricity, the more electricity is going to cost and the more difficult it will be for New York businesses to compete in the regional, national and global marketplace.  New York already has higher energy costs than most other states, owing in large part to environmental and tax policies and the need for additional electric generation capacity.  The Plan should stress the importance of reducing the costs imposed on electricity generators and adding new capacity so that New York can attract and maintain competitive businesses.</w:t>
      </w:r>
    </w:p>
    <w:p>
      <w:pPr>
        <w:pStyle w:val="List"/>
        <w:rPr/>
      </w:pPr>
      <w:r>
        <w:rPr/>
        <w:t>6.</w:t>
        <w:tab/>
        <w:t>Preserving public benefits in an era of energy industry restructuring and greater competitiveness in energy choices, particularly with regard to government-coordinated efforts to serve potentially under-represented markets and consumers.</w:t>
      </w:r>
    </w:p>
    <w:p>
      <w:pPr>
        <w:pStyle w:val="Normal"/>
        <w:rPr>
          <w:rFonts w:ascii="Times New Roman" w:hAnsi="Times New Roman" w:cs="Times New Roman"/>
          <w:color w:val="000000"/>
        </w:rPr>
      </w:pPr>
      <w:r>
        <w:rPr>
          <w:rFonts w:cs="Times New Roman" w:ascii="Times New Roman" w:hAnsi="Times New Roman"/>
          <w:color w:val="000000"/>
        </w:rPr>
      </w:r>
    </w:p>
    <w:p>
      <w:pPr>
        <w:pStyle w:val="ListContinue"/>
        <w:rPr/>
      </w:pPr>
      <w:r>
        <w:rPr/>
        <w:t>System Benefits Charge: IPPNY believes the State should continue to support these kinds of programs.  However, IPPNY would recommend that such policies not be financed through additional special assessments on the cost of electricity.  Electric sales should not be used as a taxing mechanism for programs that more appropriately should be charged against general revenues, as such an allocation methodology is inherently regressive.</w:t>
      </w:r>
    </w:p>
    <w:p>
      <w:pPr>
        <w:pStyle w:val="ListContinue"/>
        <w:rPr/>
      </w:pPr>
      <w:r>
        <w:rPr/>
        <w:t>IPPNY would recommend that a larger percentage of funds collected via the System Benefits Charge be allocated to two main areas.  First, a larger percentage of SBC funds should be spent on research in generation technologies.  This is an area of study that has been neglected and from which could come great benefits to the State.  Second, SBC funds should be used to educate the public about competition and to enhance its ability to modify its consumption of energy in response to increasing costs. The biggest flaw with the deregulation of New York’s electric industry has been the lack of attention and money spent on educating the public and implementing mechanisms to enable consumers to respond to price.  Other states have spent tens of millions of dollars more than has New York on such efforts.   The Energy $mart Program (funded with SBC proceeds) has received more publicity than deregulation in New York.   It is time to let the consumer know the benefits that full competition can provide ˝ competition on both the supply and demand sides of the market - and the SBC is the proper vehicle for funding this effort.</w:t>
      </w:r>
    </w:p>
    <w:p>
      <w:pPr>
        <w:pStyle w:val="ListContinue"/>
        <w:rPr/>
      </w:pPr>
      <w:r>
        <w:rPr/>
        <w:t>Once again, IPPNY would like to express its appreciation to the Board for this opportunity to participate in the formulation of the Plan.  IPPNY and its members stand ready to assist the Board in its efforts.</w:t>
      </w:r>
    </w:p>
    <w:p>
      <w:pPr>
        <w:pStyle w:val="Closing"/>
        <w:ind w:start="0" w:end="0"/>
        <w:rPr/>
      </w:pPr>
      <w:r>
        <w:rPr/>
      </w:r>
    </w:p>
    <w:p>
      <w:pPr>
        <w:pStyle w:val="Closing"/>
        <w:ind w:start="0" w:end="0"/>
        <w:rPr/>
      </w:pPr>
      <w:r>
        <w:rPr/>
        <w:t>Respectfully submitted,</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t>____________________</w:t>
      </w:r>
    </w:p>
    <w:p>
      <w:pPr>
        <w:pStyle w:val="List"/>
        <w:rPr/>
      </w:pPr>
      <w:r>
        <w:rPr/>
        <w:t>Gavin J. Donohue</w:t>
      </w:r>
    </w:p>
    <w:p>
      <w:pPr>
        <w:pStyle w:val="List"/>
        <w:rPr/>
      </w:pPr>
      <w:r>
        <w:rPr/>
        <w:t>Executive Director</w:t>
      </w:r>
    </w:p>
    <w:p>
      <w:pPr>
        <w:pStyle w:val="List"/>
        <w:rPr/>
      </w:pPr>
      <w:r>
        <w:rPr/>
        <w:t>Independent Power Producers</w:t>
      </w:r>
    </w:p>
    <w:p>
      <w:pPr>
        <w:pStyle w:val="List"/>
        <w:rPr/>
      </w:pPr>
      <w:r>
        <w:rPr/>
        <w:t>of New York, Inc.</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1000" w:leader="none"/>
        </w:tabs>
        <w:rPr>
          <w:rFonts w:ascii="Times New Roman" w:hAnsi="Times New Roman" w:eastAsia="Times New Roman" w:cs="Times New Roman"/>
          <w:color w:val="000000"/>
          <w:lang w:val="en-CA"/>
        </w:rPr>
      </w:pPr>
      <w:r>
        <w:rPr>
          <w:rFonts w:eastAsia="Times New Roman" w:cs="Times New Roman" w:ascii="Times New Roman" w:hAnsi="Times New Roman"/>
          <w:color w:val="000000"/>
          <w:lang w:val="en-CA"/>
        </w:rPr>
      </w:r>
      <w:r>
        <mc:AlternateContent>
          <mc:Choice Requires="wps">
            <w:drawing>
              <wp:anchor behindDoc="0" distT="0" distB="0" distL="114935" distR="114935" simplePos="0" locked="0" layoutInCell="1" allowOverlap="1" relativeHeight="5">
                <wp:simplePos x="0" y="0"/>
                <wp:positionH relativeFrom="column">
                  <wp:posOffset>-640080</wp:posOffset>
                </wp:positionH>
                <wp:positionV relativeFrom="paragraph">
                  <wp:posOffset>5612130</wp:posOffset>
                </wp:positionV>
                <wp:extent cx="7658100" cy="853440"/>
                <wp:effectExtent l="0" t="0" r="0" b="0"/>
                <wp:wrapNone/>
                <wp:docPr id="4" name="Frame3"/>
                <a:graphic xmlns:a="http://schemas.openxmlformats.org/drawingml/2006/main">
                  <a:graphicData uri="http://schemas.microsoft.com/office/word/2010/wordprocessingShape">
                    <wps:wsp>
                      <wps:cNvSpPr txBox="1"/>
                      <wps:spPr>
                        <a:xfrm>
                          <a:off x="0" y="0"/>
                          <a:ext cx="7658100" cy="853440"/>
                        </a:xfrm>
                        <a:prstGeom prst="rect"/>
                        <a:solidFill>
                          <a:srgbClr val="FFFFFF">
                            <a:alpha val="0"/>
                          </a:srgbClr>
                        </a:solidFill>
                      </wps:spPr>
                      <wps:txbx>
                        <w:txbxContent>
                          <w:p>
                            <w:pPr>
                              <w:pStyle w:val="Normal"/>
                              <w:widowControl w:val="false"/>
                              <w:autoSpaceDE w:val="false"/>
                              <w:jc w:val="center"/>
                              <w:rPr/>
                            </w:pPr>
                            <w:r>
                              <w:rPr>
                                <w:rFonts w:eastAsia="Times New Roman" w:cs="Arial" w:ascii="Arial" w:hAnsi="Arial"/>
                                <w:color w:val="000000"/>
                                <w:sz w:val="22"/>
                              </w:rPr>
                              <w:t>291 Hudson Avenue</w:t>
                            </w:r>
                            <w:r>
                              <w:rPr>
                                <w:rFonts w:eastAsia="Times New Roman" w:cs="Arial" w:ascii="Arial" w:hAnsi="Arial"/>
                                <w:sz w:val="22"/>
                              </w:rPr>
                              <w:t xml:space="preserve"> Albany, New York 12210 (518) 4-ENERGY Fax (518) 436-0369</w:t>
                            </w:r>
                          </w:p>
                          <w:p>
                            <w:pPr>
                              <w:pStyle w:val="Normal"/>
                              <w:jc w:val="center"/>
                              <w:rPr>
                                <w:rFonts w:ascii="Arial" w:hAnsi="Arial" w:eastAsia="Times New Roman" w:cs="Arial"/>
                                <w:sz w:val="22"/>
                              </w:rPr>
                            </w:pPr>
                            <w:r>
                              <w:rPr>
                                <w:rFonts w:eastAsia="Times New Roman" w:cs="Arial" w:ascii="Arial" w:hAnsi="Arial"/>
                                <w:sz w:val="22"/>
                              </w:rPr>
                              <w:t>www.ippny.org  mail@ippny.org</w:t>
                            </w:r>
                          </w:p>
                        </w:txbxContent>
                      </wps:txbx>
                      <wps:bodyPr anchor="t" lIns="92075" tIns="46355" rIns="92075" bIns="46355">
                        <a:noAutofit/>
                      </wps:bodyPr>
                    </wps:wsp>
                  </a:graphicData>
                </a:graphic>
              </wp:anchor>
            </w:drawing>
          </mc:Choice>
          <mc:Fallback>
            <w:pict>
              <v:rect fillcolor="#FFFFFF" style="position:absolute;rotation:-0;width:603pt;height:67.2pt;mso-wrap-distance-left:9.05pt;mso-wrap-distance-right:9.05pt;mso-wrap-distance-top:0pt;mso-wrap-distance-bottom:0pt;margin-top:441.9pt;mso-position-vertical-relative:text;margin-left:-50.4pt;mso-position-horizontal-relative:text">
                <v:fill opacity="0f"/>
                <v:textbox inset="0.100694444444444in,0.0506944444444444in,0.100694444444444in,0.0506944444444444in">
                  <w:txbxContent>
                    <w:p>
                      <w:pPr>
                        <w:pStyle w:val="Normal"/>
                        <w:widowControl w:val="false"/>
                        <w:autoSpaceDE w:val="false"/>
                        <w:jc w:val="center"/>
                        <w:rPr/>
                      </w:pPr>
                      <w:r>
                        <w:rPr>
                          <w:rFonts w:eastAsia="Times New Roman" w:cs="Arial" w:ascii="Arial" w:hAnsi="Arial"/>
                          <w:color w:val="000000"/>
                          <w:sz w:val="22"/>
                        </w:rPr>
                        <w:t>291 Hudson Avenue</w:t>
                      </w:r>
                      <w:r>
                        <w:rPr>
                          <w:rFonts w:eastAsia="Times New Roman" w:cs="Arial" w:ascii="Arial" w:hAnsi="Arial"/>
                          <w:sz w:val="22"/>
                        </w:rPr>
                        <w:t xml:space="preserve"> Albany, New York 12210 (518) 4-ENERGY Fax (518) 436-0369</w:t>
                      </w:r>
                    </w:p>
                    <w:p>
                      <w:pPr>
                        <w:pStyle w:val="Normal"/>
                        <w:jc w:val="center"/>
                        <w:rPr>
                          <w:rFonts w:ascii="Arial" w:hAnsi="Arial" w:eastAsia="Times New Roman" w:cs="Arial"/>
                          <w:sz w:val="22"/>
                        </w:rPr>
                      </w:pPr>
                      <w:r>
                        <w:rPr>
                          <w:rFonts w:eastAsia="Times New Roman" w:cs="Arial" w:ascii="Arial" w:hAnsi="Arial"/>
                          <w:sz w:val="22"/>
                        </w:rPr>
                        <w:t>www.ippny.org  mail@ippny.org</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-457200</wp:posOffset>
                </wp:positionH>
                <wp:positionV relativeFrom="paragraph">
                  <wp:posOffset>4926330</wp:posOffset>
                </wp:positionV>
                <wp:extent cx="7200900" cy="731520"/>
                <wp:effectExtent l="0" t="0" r="0" b="0"/>
                <wp:wrapNone/>
                <wp:docPr id="5" name="Frame4"/>
                <a:graphic xmlns:a="http://schemas.openxmlformats.org/drawingml/2006/main">
                  <a:graphicData uri="http://schemas.microsoft.com/office/word/2010/wordprocessingShape">
                    <wps:wsp>
                      <wps:cNvSpPr txBox="1"/>
                      <wps:spPr>
                        <a:xfrm>
                          <a:off x="0" y="0"/>
                          <a:ext cx="7200900" cy="731520"/>
                        </a:xfrm>
                        <a:prstGeom prst="rect"/>
                        <a:solidFill>
                          <a:srgbClr val="FFFFFF">
                            <a:alpha val="0"/>
                          </a:srgbClr>
                        </a:solidFill>
                      </wps:spPr>
                      <wps:txbx>
                        <w:txbxContent>
                          <w:p>
                            <w:pPr>
                              <w:pStyle w:val="Normal"/>
                              <w:rPr>
                                <w:rFonts w:ascii="Times New Roman" w:hAnsi="Times New Roman" w:cs="Times New Roman"/>
                                <w:i/>
                                <w:i/>
                                <w:sz w:val="22"/>
                              </w:rPr>
                            </w:pPr>
                            <w:r>
                              <w:rPr>
                                <w:rFonts w:cs="Times New Roman" w:ascii="Times New Roman" w:hAnsi="Times New Roman"/>
                                <w:i/>
                                <w:sz w:val="22"/>
                              </w:rPr>
                              <w:t>The Independent Power Producers of New York, Inc. (IPPNY) is a trade association representing more than 100 companies involved in the development of generation, marketing and sale of electric power and natural gas in New York State. Utilizing cutting-edge technologies and fuel types such as Cogeneration, Hydro, Coal, Landfill Waste, Resource Recovery and Biomass, IPPNY members produce approximately 70 percent of New York State's electric power.</w:t>
                            </w:r>
                          </w:p>
                        </w:txbxContent>
                      </wps:txbx>
                      <wps:bodyPr anchor="t" lIns="92075" tIns="46355" rIns="92075" bIns="46355">
                        <a:noAutofit/>
                      </wps:bodyPr>
                    </wps:wsp>
                  </a:graphicData>
                </a:graphic>
              </wp:anchor>
            </w:drawing>
          </mc:Choice>
          <mc:Fallback>
            <w:pict>
              <v:rect fillcolor="#FFFFFF" style="position:absolute;rotation:-0;width:567pt;height:57.6pt;mso-wrap-distance-left:9.05pt;mso-wrap-distance-right:9.05pt;mso-wrap-distance-top:0pt;mso-wrap-distance-bottom:0pt;margin-top:387.9pt;mso-position-vertical-relative:text;margin-left:-36pt;mso-position-horizontal-relative:text">
                <v:fill opacity="0f"/>
                <v:textbox inset="0.100694444444444in,0.0506944444444444in,0.100694444444444in,0.0506944444444444in">
                  <w:txbxContent>
                    <w:p>
                      <w:pPr>
                        <w:pStyle w:val="Normal"/>
                        <w:rPr>
                          <w:rFonts w:ascii="Times New Roman" w:hAnsi="Times New Roman" w:cs="Times New Roman"/>
                          <w:i/>
                          <w:i/>
                          <w:sz w:val="22"/>
                        </w:rPr>
                      </w:pPr>
                      <w:r>
                        <w:rPr>
                          <w:rFonts w:cs="Times New Roman" w:ascii="Times New Roman" w:hAnsi="Times New Roman"/>
                          <w:i/>
                          <w:sz w:val="22"/>
                        </w:rPr>
                        <w:t>The Independent Power Producers of New York, Inc. (IPPNY) is a trade association representing more than 100 companies involved in the development of generation, marketing and sale of electric power and natural gas in New York State. Utilizing cutting-edge technologies and fuel types such as Cogeneration, Hydro, Coal, Landfill Waste, Resource Recovery and Biomass, IPPNY members produce approximately 70 percent of New York State's electric power.</w:t>
                      </w:r>
                    </w:p>
                  </w:txbxContent>
                </v:textbox>
                <w10:wrap type="none"/>
              </v:rect>
            </w:pict>
          </mc:Fallback>
        </mc:AlternateContent>
      </w:r>
    </w:p>
    <w:sectPr>
      <w:type w:val="nextPage"/>
      <w:pgSz w:w="12240" w:h="15840"/>
      <w:pgMar w:left="1152" w:right="1152"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Calisto MT Italic">
    <w:altName w:val="Courier New"/>
    <w:charset w:val="00" w:characterSet="windows-1252"/>
    <w:family w:val="auto"/>
    <w:pitch w:val="variable"/>
  </w:font>
  <w:font w:name="Clearface Gothic MT Bold">
    <w:altName w:val="Courier New"/>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Calisto MT Italic;Courier New" w:hAnsi="Calisto MT Italic;Courier New" w:cs="Calisto MT Italic;Courier New"/>
      <w:sz w:val="72"/>
    </w:rPr>
  </w:style>
  <w:style w:type="paragraph" w:styleId="Heading2">
    <w:name w:val="heading 2"/>
    <w:basedOn w:val="Normal"/>
    <w:next w:val="Normal"/>
    <w:qFormat/>
    <w:pPr>
      <w:keepNext w:val="true"/>
      <w:numPr>
        <w:ilvl w:val="1"/>
        <w:numId w:val="1"/>
      </w:numPr>
      <w:outlineLvl w:val="1"/>
    </w:pPr>
    <w:rPr>
      <w:rFonts w:ascii="Clearface Gothic MT Bold;Courier New" w:hAnsi="Clearface Gothic MT Bold;Courier New" w:eastAsia="Times New Roman" w:cs="Clearface Gothic MT Bold;Courier New"/>
      <w:smallCaps/>
      <w:sz w:val="110"/>
    </w:rPr>
  </w:style>
  <w:style w:type="paragraph" w:styleId="Heading3">
    <w:name w:val="heading 3"/>
    <w:basedOn w:val="Normal"/>
    <w:next w:val="Normal"/>
    <w:qFormat/>
    <w:pPr>
      <w:keepNext w:val="true"/>
      <w:numPr>
        <w:ilvl w:val="2"/>
        <w:numId w:val="1"/>
      </w:numPr>
      <w:outlineLvl w:val="2"/>
    </w:pPr>
    <w:rPr>
      <w:rFonts w:ascii="Calisto MT Italic;Courier New" w:hAnsi="Calisto MT Italic;Courier New" w:cs="Calisto MT Italic;Courier New"/>
      <w:sz w:val="5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ind w:hanging="0" w:start="4320" w:end="0"/>
    </w:pPr>
    <w:rPr/>
  </w:style>
  <w:style w:type="paragraph" w:styleId="ListContinue">
    <w:name w:val="List Continue"/>
    <w:basedOn w:val="Normal"/>
    <w:qFormat/>
    <w:pPr>
      <w:spacing w:before="0" w:after="120"/>
      <w:ind w:hanging="0" w:start="360" w:end="0"/>
    </w:pPr>
    <w:rPr/>
  </w:style>
  <w:style w:type="paragraph" w:styleId="Salutation">
    <w:name w:val="Salutation"/>
    <w:basedOn w:val="Normal"/>
    <w:next w:val="Normal"/>
    <w:qFormat/>
    <w:pPr/>
    <w:rPr/>
  </w:style>
  <w:style w:type="paragraph" w:styleId="Date">
    <w:name w:val="Date"/>
    <w:basedOn w:val="Normal"/>
    <w:next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2001-06-29T18:34:00Z</dcterms:created>
  <dc:creator>SSK</dc:creator>
  <dc:description/>
  <dc:language>en-CA</dc:language>
  <cp:lastModifiedBy>SSK</cp:lastModifiedBy>
  <cp:lastPrinted>2001-06-27T15:43:00Z</cp:lastPrinted>
  <dcterms:modified xsi:type="dcterms:W3CDTF">2001-06-30T20:07:00Z</dcterms:modified>
  <cp:revision>4</cp:revision>
  <dc:subject/>
  <dc:title>  </dc:title>
</cp:coreProperties>
</file>