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 xml:space="preserve">Tennessee Gas Pipeline Company </w:t>
      </w:r>
    </w:p>
    <w:p>
      <w:pPr>
        <w:pStyle w:val="Heading"/>
        <w:rPr>
          <w:u w:val="none"/>
        </w:rPr>
      </w:pPr>
      <w:r>
        <w:rPr>
          <w:u w:val="none"/>
        </w:rPr>
        <w:t>Recommendation to Reject Transportation Agreements</w:t>
      </w:r>
    </w:p>
    <w:p>
      <w:pPr>
        <w:pStyle w:val="Heading"/>
        <w:rPr>
          <w:u w:val="none"/>
        </w:rPr>
      </w:pPr>
      <w:r>
        <w:rPr>
          <w:u w:val="none"/>
        </w:rPr>
      </w:r>
    </w:p>
    <w:p>
      <w:pPr>
        <w:pStyle w:val="Footer"/>
        <w:tabs>
          <w:tab w:val="clear" w:pos="4320"/>
          <w:tab w:val="clear" w:pos="8640"/>
        </w:tabs>
        <w:ind w:firstLine="540" w:start="-540" w:end="0"/>
        <w:rPr/>
      </w:pPr>
      <w:r>
        <w:rPr>
          <w:b/>
          <w:bCs/>
          <w:sz w:val="22"/>
          <w:u w:val="single"/>
        </w:rPr>
        <w:t>Overview</w:t>
      </w:r>
      <w:r>
        <w:rPr>
          <w:b/>
          <w:bCs/>
          <w:sz w:val="22"/>
        </w:rPr>
        <w:t>:</w:t>
      </w:r>
    </w:p>
    <w:p>
      <w:pPr>
        <w:pStyle w:val="Footer"/>
        <w:tabs>
          <w:tab w:val="clear" w:pos="4320"/>
          <w:tab w:val="clear" w:pos="8640"/>
        </w:tabs>
        <w:jc w:val="both"/>
        <w:rPr>
          <w:i/>
          <w:i/>
          <w:iCs/>
          <w:sz w:val="20"/>
        </w:rPr>
      </w:pPr>
      <w:r>
        <w:rPr>
          <w:i/>
          <w:iCs/>
          <w:sz w:val="20"/>
        </w:rPr>
        <w:t>On February 22, 2002, Tennessee Gas Pipeline Company (TGPL) filed a motion in bankruptcy court requesting that TGPL be allowed to terminate certain natural gas transport agreements or that Enron Corp (Enron) assume or reject their contracts and pay administrative fees.  On March 21st, TGPL and Enron entered into a Stipulation where Enron agreed to assume or reject all the TGPL agreements by May 3, 2002 . TGPL agreed to withdraw the Motion without prejudice to its rights, claims or interests.</w:t>
      </w:r>
    </w:p>
    <w:p>
      <w:pPr>
        <w:pStyle w:val="Footer"/>
        <w:tabs>
          <w:tab w:val="clear" w:pos="4320"/>
          <w:tab w:val="clear" w:pos="8640"/>
        </w:tabs>
        <w:jc w:val="both"/>
        <w:rPr>
          <w:i/>
          <w:i/>
          <w:iCs/>
          <w:sz w:val="20"/>
        </w:rPr>
      </w:pPr>
      <w:r>
        <w:rPr>
          <w:i/>
          <w:iCs/>
          <w:sz w:val="20"/>
        </w:rPr>
      </w:r>
    </w:p>
    <w:p>
      <w:pPr>
        <w:pStyle w:val="Footer"/>
        <w:tabs>
          <w:tab w:val="clear" w:pos="4320"/>
          <w:tab w:val="clear" w:pos="8640"/>
        </w:tabs>
        <w:jc w:val="both"/>
        <w:rPr>
          <w:i/>
          <w:i/>
          <w:iCs/>
          <w:sz w:val="20"/>
        </w:rPr>
      </w:pPr>
      <w:r>
        <w:rPr>
          <w:i/>
          <w:iCs/>
          <w:sz w:val="20"/>
        </w:rPr>
        <w:t>Listed in TGPL’s Exhibit A of its Stipulation filing was a temporary capacity release contract that Enron North America (ENA) acquired from Boston Gas in January 1998. Prior to TGPL’s filing, Enron and Boston Gas entered into a separate Stipulation dated January 29, 2002, where Enron agreed to re-release the agreement back to Boston Gas on a month-to-month basis, since ENA was not using the capacity for the benefit of the Estate.</w:t>
      </w:r>
    </w:p>
    <w:p>
      <w:pPr>
        <w:pStyle w:val="Footer"/>
        <w:tabs>
          <w:tab w:val="clear" w:pos="4320"/>
          <w:tab w:val="clear" w:pos="8640"/>
        </w:tabs>
        <w:jc w:val="both"/>
        <w:rPr>
          <w:i/>
          <w:i/>
          <w:iCs/>
          <w:sz w:val="20"/>
        </w:rPr>
      </w:pPr>
      <w:r>
        <w:rPr>
          <w:i/>
          <w:iCs/>
          <w:sz w:val="20"/>
        </w:rPr>
      </w:r>
    </w:p>
    <w:p>
      <w:pPr>
        <w:pStyle w:val="Subtitle"/>
        <w:jc w:val="both"/>
        <w:rPr>
          <w:i/>
          <w:i/>
          <w:iCs/>
          <w:sz w:val="20"/>
          <w:u w:val="none"/>
        </w:rPr>
      </w:pPr>
      <w:r>
        <w:rPr>
          <w:i/>
          <w:iCs/>
          <w:sz w:val="20"/>
          <w:u w:val="none"/>
        </w:rPr>
        <w:t>After an extensive evaluation of the market conditions on TGPL, Enron has determined that there is no current market interest to acquire the firm capacity at the maximum tariff contract rates.  It is recommended that Enron’s agreements with TGPL be rejected on the May 3, 2002 deadline under the TGPL Stipulation.</w:t>
      </w:r>
    </w:p>
    <w:p>
      <w:pPr>
        <w:pStyle w:val="Subtitle"/>
        <w:jc w:val="both"/>
        <w:rPr>
          <w:u w:val="none"/>
        </w:rPr>
      </w:pPr>
      <w:r>
        <w:rPr>
          <w:u w:val="none"/>
        </w:rPr>
        <w:t xml:space="preserve">          </w:t>
      </w:r>
      <w:r>
        <w:rPr>
          <w:u w:val="none"/>
        </w:rPr>
        <w:tab/>
        <w:tab/>
        <w:t xml:space="preserve">                                  </w:t>
      </w:r>
    </w:p>
    <w:p>
      <w:pPr>
        <w:pStyle w:val="BodyText"/>
        <w:tabs>
          <w:tab w:val="clear" w:pos="720"/>
          <w:tab w:val="left" w:pos="1080" w:leader="none"/>
          <w:tab w:val="left" w:pos="5760" w:leader="none"/>
        </w:tabs>
        <w:rPr>
          <w:b/>
          <w:bCs/>
          <w:sz w:val="22"/>
          <w:u w:val="single"/>
        </w:rPr>
      </w:pPr>
      <w:r>
        <w:rPr>
          <w:b/>
          <w:bCs/>
          <w:sz w:val="22"/>
          <w:u w:val="single"/>
        </w:rPr>
        <w:t>Background:</w:t>
      </w:r>
    </w:p>
    <w:p>
      <w:pPr>
        <w:pStyle w:val="BodyText"/>
        <w:tabs>
          <w:tab w:val="clear" w:pos="720"/>
          <w:tab w:val="left" w:pos="1080" w:leader="none"/>
          <w:tab w:val="left" w:pos="5760" w:leader="none"/>
        </w:tabs>
        <w:rPr>
          <w:sz w:val="20"/>
        </w:rPr>
      </w:pPr>
      <w:r>
        <w:rPr>
          <w:sz w:val="20"/>
        </w:rPr>
        <w:t>Enron Corp currently has 54 active agreements (Agreements) with TGPL. Four of these contracts, three transportation contracts and one storage agreement, are firm and are temporary capacity releases with Boston Gas and NYSEG.  As temporary capacity releases, the original capacity holders - Boston Gas and NYSEG, assume the payment of demand charges for these agreements in the event that Enron does not pay the pipeline’s invoice.</w:t>
      </w:r>
    </w:p>
    <w:p>
      <w:pPr>
        <w:pStyle w:val="BodyText"/>
        <w:tabs>
          <w:tab w:val="clear" w:pos="720"/>
          <w:tab w:val="left" w:pos="1080" w:leader="none"/>
          <w:tab w:val="left" w:pos="5760" w:leader="none"/>
        </w:tabs>
        <w:rPr>
          <w:sz w:val="20"/>
        </w:rPr>
      </w:pPr>
      <w:r>
        <w:rPr>
          <w:sz w:val="20"/>
        </w:rPr>
      </w:r>
    </w:p>
    <w:p>
      <w:pPr>
        <w:pStyle w:val="BodyText"/>
        <w:rPr>
          <w:sz w:val="20"/>
        </w:rPr>
      </w:pPr>
      <w:r>
        <w:rPr>
          <w:sz w:val="20"/>
        </w:rPr>
        <w:t xml:space="preserve">The remaining 51 agreements, which are categorized as aggregation, balancing, park/loan, storage or interruptible transportation (IT) agreements, are considered interruptible contracts and have no fixed demand costs.  Costs for these contracts are only incurred when the contracts have been utilized.  These contracts are evergreen and thus have no defined termination date.  Normal course of business would allow these contracts to be terminated by either party providing 30 day written notice of termination. </w:t>
      </w:r>
    </w:p>
    <w:p>
      <w:pPr>
        <w:pStyle w:val="BodyText"/>
        <w:ind w:start="360" w:end="0"/>
        <w:rPr>
          <w:sz w:val="22"/>
        </w:rPr>
      </w:pPr>
      <w:r>
        <w:rPr>
          <w:sz w:val="22"/>
        </w:rPr>
      </w:r>
    </w:p>
    <w:p>
      <w:pPr>
        <w:pStyle w:val="Subtitle"/>
        <w:rPr/>
      </w:pPr>
      <w:r>
        <w:rPr>
          <w:b/>
          <w:bCs/>
          <w:sz w:val="22"/>
        </w:rPr>
        <w:t>Current Request:</w:t>
      </w:r>
      <w:r>
        <w:rPr>
          <w:sz w:val="22"/>
        </w:rPr>
        <w:t xml:space="preserve"> </w:t>
      </w:r>
    </w:p>
    <w:p>
      <w:pPr>
        <w:pStyle w:val="BodyText"/>
        <w:rPr>
          <w:sz w:val="20"/>
        </w:rPr>
      </w:pPr>
      <w:r>
        <w:rPr>
          <w:sz w:val="20"/>
        </w:rPr>
        <w:t>The transaction team requests the authorization to reject all the firm transportation, aggregation, balancing, firm, park/loan, storage, pooling, and IT agreements since the 54 contracts have no positive benefit to the Estate.</w:t>
      </w:r>
    </w:p>
    <w:p>
      <w:pPr>
        <w:pStyle w:val="BodyText"/>
        <w:rPr>
          <w:sz w:val="20"/>
        </w:rPr>
      </w:pPr>
      <w:r>
        <w:rPr>
          <w:sz w:val="20"/>
        </w:rPr>
      </w:r>
    </w:p>
    <w:p>
      <w:pPr>
        <w:pStyle w:val="BodyText"/>
        <w:rPr>
          <w:sz w:val="20"/>
        </w:rPr>
      </w:pPr>
      <w:r>
        <w:rPr>
          <w:b/>
          <w:bCs/>
          <w:sz w:val="22"/>
          <w:u w:val="single"/>
        </w:rPr>
        <w:t>Description of Assets/Securities to be Sold</w:t>
      </w:r>
      <w:r>
        <w:rPr>
          <w:b/>
          <w:bCs/>
          <w:sz w:val="22"/>
        </w:rPr>
        <w:t xml:space="preserve">:  </w:t>
      </w:r>
      <w:r>
        <w:rPr>
          <w:sz w:val="22"/>
        </w:rPr>
        <w:t>None</w:t>
      </w:r>
    </w:p>
    <w:p>
      <w:pPr>
        <w:pStyle w:val="BodyText"/>
        <w:rPr>
          <w:sz w:val="20"/>
        </w:rPr>
      </w:pPr>
      <w:r>
        <w:rPr>
          <w:sz w:val="20"/>
        </w:rPr>
      </w:r>
    </w:p>
    <w:p>
      <w:pPr>
        <w:pStyle w:val="BodyText"/>
        <w:rPr>
          <w:b/>
          <w:bCs/>
          <w:sz w:val="22"/>
          <w:u w:val="single"/>
        </w:rPr>
      </w:pPr>
      <w:r>
        <w:rPr>
          <w:b/>
          <w:bCs/>
          <w:sz w:val="22"/>
          <w:u w:val="single"/>
        </w:rPr>
        <w:t>Strategic Rationale for Rejecting Contract:</w:t>
      </w:r>
    </w:p>
    <w:p>
      <w:pPr>
        <w:pStyle w:val="BodyText"/>
        <w:rPr>
          <w:sz w:val="20"/>
        </w:rPr>
      </w:pPr>
      <w:r>
        <w:rPr>
          <w:sz w:val="20"/>
        </w:rPr>
        <w:t xml:space="preserve">The demand cost exceeds the market value of the Boston Gas firm transportation contract.  Although at one point in time, this capacity had value to Enron, the existing supply and sale hedges that captured the spread value are no longer in place.  Current market analyses indicates that if the Boston Gas capacity is kept until the end of the term of the agreement, the demand costs will significantly exceed the market value. The other three firm agreements, which were acquired by EES by temporary capacity release from NYSEG, no longer have any positive value since EES is longer doing business in New York.  </w:t>
      </w:r>
    </w:p>
    <w:p>
      <w:pPr>
        <w:pStyle w:val="BodyText"/>
        <w:rPr>
          <w:sz w:val="20"/>
        </w:rPr>
      </w:pPr>
      <w:r>
        <w:rPr>
          <w:sz w:val="20"/>
        </w:rPr>
      </w:r>
    </w:p>
    <w:p>
      <w:pPr>
        <w:pStyle w:val="BodyText"/>
        <w:rPr>
          <w:sz w:val="20"/>
        </w:rPr>
      </w:pPr>
      <w:r>
        <w:rPr>
          <w:sz w:val="20"/>
        </w:rPr>
        <w:t xml:space="preserve">The remaining agreements are utilized to either capture existing market spreads or facilitate the nomination of gas to customers. Because Enron is no longer participating in the gas daily market, these contracts hold no value. </w:t>
      </w:r>
    </w:p>
    <w:p>
      <w:pPr>
        <w:pStyle w:val="BodyText"/>
        <w:rPr>
          <w:sz w:val="20"/>
        </w:rPr>
      </w:pPr>
      <w:r>
        <w:rPr>
          <w:sz w:val="20"/>
        </w:rPr>
        <w:t xml:space="preserve">  </w:t>
      </w:r>
    </w:p>
    <w:p>
      <w:pPr>
        <w:pStyle w:val="BodyText"/>
        <w:rPr>
          <w:sz w:val="20"/>
        </w:rPr>
      </w:pPr>
      <w:r>
        <w:rPr>
          <w:b/>
          <w:bCs/>
          <w:sz w:val="22"/>
          <w:u w:val="single"/>
        </w:rPr>
        <w:t>Market Analysis for Rejecting Contract:</w:t>
      </w:r>
    </w:p>
    <w:p>
      <w:pPr>
        <w:pStyle w:val="BodyText"/>
        <w:rPr>
          <w:sz w:val="20"/>
        </w:rPr>
      </w:pPr>
      <w:r>
        <w:rPr>
          <w:sz w:val="20"/>
        </w:rPr>
        <w:t>The firm agreements have no positive value to the Estate or any other Enron entity based upon a thorough market analysis. As agreed to in the Boston Gas Stipulation, Enron has re-released its release capacity to Boston Gas on a month-to month basis. Additionally, a market survey was conducted to determine the market value of the Boston Gas capacity.  Although, several bidders expressed interest in obtaining ENA’s Boston Gas capacity, the bids were valued at 14% to 42% of the maximum tariff contract rate.</w:t>
      </w:r>
    </w:p>
    <w:p>
      <w:pPr>
        <w:pStyle w:val="BodyText"/>
        <w:rPr>
          <w:sz w:val="20"/>
        </w:rPr>
      </w:pPr>
      <w:r>
        <w:rPr>
          <w:sz w:val="20"/>
        </w:rPr>
      </w:r>
    </w:p>
    <w:p>
      <w:pPr>
        <w:pStyle w:val="BodyText"/>
        <w:rPr>
          <w:sz w:val="20"/>
        </w:rPr>
      </w:pPr>
      <w:r>
        <w:rPr>
          <w:sz w:val="20"/>
        </w:rPr>
        <w:t>The interruptible agreements also have no positive value to the Estate or any other Enron entity. These types of agreements are not releasable to the market. They are standard contracts issued by the pipelines to be used on an interruptible basis.</w:t>
      </w:r>
    </w:p>
    <w:p>
      <w:pPr>
        <w:pStyle w:val="BodyText"/>
        <w:rPr>
          <w:sz w:val="20"/>
        </w:rPr>
      </w:pPr>
      <w:r>
        <w:rPr>
          <w:sz w:val="20"/>
        </w:rPr>
      </w:r>
    </w:p>
    <w:p>
      <w:pPr>
        <w:pStyle w:val="BodyText"/>
        <w:rPr>
          <w:b/>
          <w:bCs/>
          <w:sz w:val="22"/>
          <w:u w:val="single"/>
        </w:rPr>
      </w:pPr>
      <w:r>
        <w:rPr>
          <w:b/>
          <w:bCs/>
          <w:sz w:val="22"/>
          <w:u w:val="single"/>
        </w:rPr>
        <w:t>Impact of Not Doing the Proposed Transaction:</w:t>
      </w:r>
    </w:p>
    <w:p>
      <w:pPr>
        <w:pStyle w:val="BodyText2"/>
        <w:jc w:val="both"/>
        <w:rPr/>
      </w:pPr>
      <w:r>
        <w:rPr/>
        <w:t>If no action is taken, the Agreements shall be deemed rejected as set forth in the Stipulation, using either no response or the Rejection Procedures Order and effective as stipulated under the Notice of Rejection.  Assumption would require Enron to cure the agreement by paying unpaid monthly demand charges from December 2001 to present for contracts that have no value to Enron.  The remaining firm agreements are temporary capacity release transactions where the releasing shippers (i.e. Boston Gas and NYSEG) should be paying the unpaid pre-petition and post-petition reservation charges to TGPL</w:t>
      </w:r>
    </w:p>
    <w:p>
      <w:pPr>
        <w:pStyle w:val="BodyText"/>
        <w:rPr>
          <w:sz w:val="22"/>
          <w:u w:val="single"/>
        </w:rPr>
      </w:pPr>
      <w:r>
        <w:rPr>
          <w:sz w:val="22"/>
          <w:u w:val="single"/>
        </w:rPr>
      </w:r>
    </w:p>
    <w:p>
      <w:pPr>
        <w:pStyle w:val="BodyText"/>
        <w:rPr>
          <w:b/>
          <w:bCs/>
          <w:sz w:val="22"/>
          <w:u w:val="single"/>
        </w:rPr>
      </w:pPr>
      <w:r>
        <w:rPr>
          <w:b/>
          <w:bCs/>
          <w:sz w:val="22"/>
          <w:u w:val="single"/>
        </w:rPr>
        <w:t>Pending Issues:</w:t>
      </w:r>
    </w:p>
    <w:p>
      <w:pPr>
        <w:pStyle w:val="BodyText2"/>
        <w:jc w:val="both"/>
        <w:rPr/>
      </w:pPr>
      <w:r>
        <w:rPr/>
        <w:t>Accounting issues, cash-outs, and imbalances have been identified.  TGPL and ENA Legal are continuing to resolve these identified issues.  ENA also continues to work with Boston Gas to mitigate future claims due to the rejection of ENA’s capacity release contracts with TGPL. Although not included in the TGPL Stipulation, ENA is currently listed as agent for CES, Citrus and Columbia Resources on TGPL’s website. As a separate initiative, Enron will work with TGPL to terminate or cancel these agency arrangements to resolve these final contractual issues with the pipeline.</w:t>
      </w:r>
    </w:p>
    <w:p>
      <w:pPr>
        <w:pStyle w:val="Normal"/>
        <w:rPr>
          <w:sz w:val="20"/>
        </w:rPr>
      </w:pPr>
      <w:r>
        <w:rPr>
          <w:sz w:val="20"/>
        </w:rPr>
      </w:r>
    </w:p>
    <w:p>
      <w:pPr>
        <w:pStyle w:val="BodyText"/>
        <w:rPr/>
      </w:pPr>
      <w:r>
        <w:rPr>
          <w:b/>
          <w:bCs/>
          <w:sz w:val="22"/>
          <w:u w:val="single"/>
        </w:rPr>
        <w:t>Impact/Potential Impact on Other Enron Entities:</w:t>
      </w:r>
      <w:r>
        <w:rPr>
          <w:sz w:val="22"/>
        </w:rPr>
        <w:t xml:space="preserve">  </w:t>
      </w:r>
      <w:r>
        <w:rPr>
          <w:sz w:val="20"/>
        </w:rPr>
        <w:t>None</w:t>
      </w:r>
    </w:p>
    <w:p>
      <w:pPr>
        <w:pStyle w:val="BodyText"/>
        <w:rPr>
          <w:sz w:val="22"/>
        </w:rPr>
      </w:pPr>
      <w:r>
        <w:rPr>
          <w:sz w:val="22"/>
        </w:rPr>
      </w:r>
    </w:p>
    <w:p>
      <w:pPr>
        <w:pStyle w:val="BodyText"/>
        <w:rPr/>
      </w:pPr>
      <w:r>
        <w:rPr>
          <w:b/>
          <w:bCs/>
          <w:sz w:val="22"/>
          <w:u w:val="single"/>
        </w:rPr>
        <w:t>Impact/Potential Impact on Different Creditor Class:</w:t>
      </w:r>
      <w:r>
        <w:rPr>
          <w:sz w:val="22"/>
        </w:rPr>
        <w:t xml:space="preserve">  </w:t>
      </w:r>
      <w:r>
        <w:rPr>
          <w:sz w:val="20"/>
        </w:rPr>
        <w:t>None</w:t>
      </w:r>
    </w:p>
    <w:p>
      <w:pPr>
        <w:pStyle w:val="BodyText"/>
        <w:rPr>
          <w:sz w:val="22"/>
        </w:rPr>
      </w:pPr>
      <w:r>
        <w:rPr>
          <w:sz w:val="22"/>
        </w:rPr>
      </w:r>
    </w:p>
    <w:p>
      <w:pPr>
        <w:pStyle w:val="BodyText"/>
        <w:rPr/>
      </w:pPr>
      <w:r>
        <w:rPr>
          <w:b/>
          <w:bCs/>
          <w:sz w:val="22"/>
          <w:u w:val="single"/>
        </w:rPr>
        <w:t>Apparent Public Relations Repercussions:</w:t>
      </w:r>
      <w:r>
        <w:rPr>
          <w:sz w:val="22"/>
        </w:rPr>
        <w:t xml:space="preserve">  </w:t>
      </w:r>
      <w:r>
        <w:rPr>
          <w:sz w:val="20"/>
        </w:rPr>
        <w:t>None</w:t>
      </w:r>
    </w:p>
    <w:p>
      <w:pPr>
        <w:pStyle w:val="BodyText"/>
        <w:rPr>
          <w:sz w:val="22"/>
        </w:rPr>
      </w:pPr>
      <w:r>
        <w:rPr>
          <w:sz w:val="22"/>
        </w:rPr>
      </w:r>
    </w:p>
    <w:p>
      <w:pPr>
        <w:pStyle w:val="Normal"/>
        <w:rPr>
          <w:sz w:val="20"/>
        </w:rPr>
      </w:pPr>
      <w:r>
        <w:rPr>
          <w:sz w:val="20"/>
        </w:rPr>
      </w:r>
    </w:p>
    <w:p>
      <w:pPr>
        <w:pStyle w:val="Normal"/>
        <w:rPr>
          <w:sz w:val="20"/>
        </w:rPr>
      </w:pPr>
      <w:r>
        <w:rPr>
          <w:sz w:val="20"/>
        </w:rPr>
      </w:r>
    </w:p>
    <w:sectPr>
      <w:footerReference w:type="default" r:id="rId2"/>
      <w:footerReference w:type="first" r:id="rId3"/>
      <w:type w:val="nextPage"/>
      <w:pgSz w:w="12240" w:h="15840"/>
      <w:pgMar w:left="1800" w:right="1800" w:gutter="0" w:header="0" w:top="1152" w:footer="288"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Times New Roman" w:hAnsi="Times New Roman" w:eastAsia="Times New Roman" w:cs="Times New Roman"/>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style>
  <w:style w:type="character" w:styleId="WW8Num4z1">
    <w:name w:val="WW8Num4z1"/>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2002-05-28T12:51:00Z</dcterms:created>
  <dc:creator>mgarza1</dc:creator>
  <dc:description/>
  <dc:language>en-CA</dc:language>
  <cp:lastModifiedBy>cgerman</cp:lastModifiedBy>
  <cp:lastPrinted>2002-05-02T17:17:00Z</cp:lastPrinted>
  <dcterms:modified xsi:type="dcterms:W3CDTF">2002-05-28T12:51:00Z</dcterms:modified>
  <cp:revision>2</cp:revision>
  <dc:subject/>
  <dc:title>DEAL DESCRIPTION</dc:title>
</cp:coreProperties>
</file>