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INTEROFFICE MEMORANDUM</w:t>
      </w:r>
    </w:p>
    <w:p>
      <w:pPr>
        <w:pStyle w:val="Normal"/>
        <w:rPr/>
      </w:pPr>
      <w:r>
        <w:rPr/>
      </w:r>
    </w:p>
    <w:p>
      <w:pPr>
        <w:pStyle w:val="Normal"/>
        <w:rPr/>
      </w:pPr>
      <w:r>
        <w:rPr>
          <w:b/>
        </w:rPr>
        <w:t>To:</w:t>
        <w:tab/>
      </w:r>
      <w:r>
        <w:rPr/>
        <w:t>Peter del Vecchio</w:t>
      </w:r>
    </w:p>
    <w:p>
      <w:pPr>
        <w:pStyle w:val="Normal"/>
        <w:ind w:firstLine="720" w:end="0"/>
        <w:rPr/>
      </w:pPr>
      <w:r>
        <w:rPr/>
        <w:t>Andy Kelemen</w:t>
      </w:r>
    </w:p>
    <w:p>
      <w:pPr>
        <w:pStyle w:val="Normal"/>
        <w:ind w:firstLine="720" w:end="0"/>
        <w:rPr/>
      </w:pPr>
      <w:r>
        <w:rPr/>
        <w:t>Bret Scholtes</w:t>
      </w:r>
    </w:p>
    <w:p>
      <w:pPr>
        <w:pStyle w:val="Normal"/>
        <w:rPr/>
      </w:pPr>
      <w:r>
        <w:rPr/>
      </w:r>
    </w:p>
    <w:p>
      <w:pPr>
        <w:pStyle w:val="Normal"/>
        <w:rPr>
          <w:b/>
        </w:rPr>
      </w:pPr>
      <w:r>
        <w:rPr>
          <w:b/>
        </w:rPr>
        <w:t>From:</w:t>
        <w:tab/>
      </w:r>
      <w:r>
        <w:rPr/>
        <w:t>Rick Johnson</w:t>
      </w:r>
    </w:p>
    <w:p>
      <w:pPr>
        <w:pStyle w:val="Normal"/>
        <w:rPr>
          <w:b/>
        </w:rPr>
      </w:pPr>
      <w:r>
        <w:rPr>
          <w:b/>
        </w:rPr>
      </w:r>
    </w:p>
    <w:p>
      <w:pPr>
        <w:pStyle w:val="Normal"/>
        <w:rPr/>
      </w:pPr>
      <w:r>
        <w:rPr>
          <w:b/>
        </w:rPr>
        <w:t>Date:</w:t>
      </w:r>
      <w:r>
        <w:rPr/>
        <w:tab/>
        <w:t>September 20, 2000</w:t>
      </w:r>
    </w:p>
    <w:p>
      <w:pPr>
        <w:pStyle w:val="Normal"/>
        <w:rPr/>
      </w:pPr>
      <w:r>
        <w:rPr/>
      </w:r>
    </w:p>
    <w:p>
      <w:pPr>
        <w:pStyle w:val="Normal"/>
        <w:rPr>
          <w:b/>
        </w:rPr>
      </w:pPr>
      <w:r>
        <w:rPr>
          <w:b/>
        </w:rPr>
      </w:r>
    </w:p>
    <w:p>
      <w:pPr>
        <w:pStyle w:val="Normal"/>
        <w:rPr/>
      </w:pPr>
      <w:r>
        <w:rPr>
          <w:b/>
        </w:rPr>
        <w:t>Subj:</w:t>
      </w:r>
      <w:r>
        <w:rPr/>
        <w:tab/>
      </w:r>
      <w:r>
        <w:rPr>
          <w:b/>
        </w:rPr>
        <w:t>Falcon – Due Diligence – Pension</w:t>
      </w:r>
      <w:r>
        <w:rPr/>
        <w:t xml:space="preserve"> </w:t>
      </w:r>
    </w:p>
    <w:p>
      <w:pPr>
        <w:pStyle w:val="Normal"/>
        <w:pBdr>
          <w:bottom w:val="single" w:sz="12" w:space="1" w:color="000000"/>
        </w:pBdr>
        <w:rPr/>
      </w:pPr>
      <w:r>
        <w:rPr/>
      </w:r>
    </w:p>
    <w:p>
      <w:pPr>
        <w:pStyle w:val="Normal"/>
        <w:rPr/>
      </w:pPr>
      <w:r>
        <w:rPr/>
      </w:r>
    </w:p>
    <w:p>
      <w:pPr>
        <w:pStyle w:val="Normal"/>
        <w:rPr/>
      </w:pPr>
      <w:r>
        <w:rPr/>
        <w:tab/>
        <w:t>To the issues of Pension Bill Maclagan has completed the initial review of Falcon Plans:  Material findings include:</w:t>
      </w:r>
    </w:p>
    <w:p>
      <w:pPr>
        <w:pStyle w:val="Normal"/>
        <w:rPr/>
      </w:pPr>
      <w:r>
        <w:rPr/>
      </w:r>
    </w:p>
    <w:p>
      <w:pPr>
        <w:pStyle w:val="Normal"/>
        <w:numPr>
          <w:ilvl w:val="0"/>
          <w:numId w:val="4"/>
        </w:numPr>
        <w:rPr/>
      </w:pPr>
      <w:r>
        <w:rPr/>
        <w:t xml:space="preserve">Salaried / non-union pension plan(s) </w:t>
        <w:tab/>
      </w:r>
    </w:p>
    <w:p>
      <w:pPr>
        <w:pStyle w:val="Normal"/>
        <w:ind w:start="360" w:end="0"/>
        <w:rPr/>
      </w:pPr>
      <w:r>
        <w:rPr/>
        <w:t>The defined benefit and defined contribution plans appear to be in “extremely good shape”. The surplus funding in the plan is approximately $ 23 million.  There appears to be features within the plan to allocate surplus to serve other funding obligations.  At the current actuarial valuation, the Plan could enjoy a contribution holiday through 2002.   There are reservations about the bifurcation of plan surplus and annual expense allocations between the paperco and pulpco entities, however they do not appear to detract from the plan viability.</w:t>
      </w:r>
    </w:p>
    <w:p>
      <w:pPr>
        <w:pStyle w:val="Normal"/>
        <w:rPr/>
      </w:pPr>
      <w:r>
        <w:rPr/>
      </w:r>
    </w:p>
    <w:p>
      <w:pPr>
        <w:pStyle w:val="Normal"/>
        <w:numPr>
          <w:ilvl w:val="0"/>
          <w:numId w:val="1"/>
        </w:numPr>
        <w:rPr/>
      </w:pPr>
      <w:r>
        <w:rPr/>
        <w:t>Union Pension Plan</w:t>
      </w:r>
    </w:p>
    <w:p>
      <w:pPr>
        <w:pStyle w:val="Normal"/>
        <w:ind w:start="360" w:end="0"/>
        <w:rPr/>
      </w:pPr>
      <w:r>
        <w:rPr/>
        <w:t>This multi employer / industry plan is also in extremely good shape.  The high level of funding required from the employers can in part explain this condition.  The contribution rate for employer is 10% of employee salary with an additional 2 % contributed by employees.</w:t>
      </w:r>
    </w:p>
    <w:p>
      <w:pPr>
        <w:pStyle w:val="Normal"/>
        <w:rPr/>
      </w:pPr>
      <w:r>
        <w:rPr/>
      </w:r>
    </w:p>
    <w:p>
      <w:pPr>
        <w:pStyle w:val="Normal"/>
        <w:numPr>
          <w:ilvl w:val="0"/>
          <w:numId w:val="2"/>
        </w:numPr>
        <w:rPr/>
      </w:pPr>
      <w:r>
        <w:rPr/>
        <w:t>Executive Pension Plans</w:t>
      </w:r>
    </w:p>
    <w:p>
      <w:pPr>
        <w:pStyle w:val="Normal"/>
        <w:ind w:start="360" w:end="0"/>
        <w:rPr/>
      </w:pPr>
      <w:r>
        <w:rPr/>
        <w:t>The two supplementary retirement plans for executives are un-funded plans.  The largest liability lies with the Supplemental Plan for Senior Executives.  This Plan shows a deficit of $15,335,000.  The Supplementary Pensions for former Executives Plan reflects a deficit of $1,281,000.   Contributions required to cover benefits are from general revenues on an annual basis.</w:t>
      </w:r>
    </w:p>
    <w:p>
      <w:pPr>
        <w:pStyle w:val="Normal"/>
        <w:ind w:start="360" w:end="0"/>
        <w:rPr/>
      </w:pPr>
      <w:r>
        <w:rPr/>
      </w:r>
    </w:p>
    <w:p>
      <w:pPr>
        <w:pStyle w:val="Normal"/>
        <w:ind w:start="360" w:end="0"/>
        <w:rPr/>
      </w:pPr>
      <w:r>
        <w:rPr/>
        <w:t>The net pension expenses for 2001 is projected at 4, 379,000, excluding the 10% union plan obligation.</w:t>
      </w:r>
    </w:p>
    <w:p>
      <w:pPr>
        <w:pStyle w:val="Normal"/>
        <w:rPr/>
      </w:pPr>
      <w:r>
        <w:rPr/>
      </w:r>
    </w:p>
    <w:p>
      <w:pPr>
        <w:pStyle w:val="Normal"/>
        <w:numPr>
          <w:ilvl w:val="0"/>
          <w:numId w:val="3"/>
        </w:numPr>
        <w:tabs>
          <w:tab w:val="clear" w:pos="720"/>
          <w:tab w:val="left" w:pos="450" w:leader="none"/>
        </w:tabs>
        <w:ind w:hanging="360" w:start="450" w:end="0"/>
        <w:rPr/>
      </w:pPr>
      <w:r>
        <w:rPr/>
        <w:t>Post Retirement Benefits other than Pension</w:t>
      </w:r>
    </w:p>
    <w:p>
      <w:pPr>
        <w:pStyle w:val="Normal"/>
        <w:ind w:start="450" w:end="0"/>
        <w:rPr/>
      </w:pPr>
      <w:r>
        <w:rPr/>
        <w:t>A significant form of liability exists in the form of future retiree benefits exclusive of pension plans.</w:t>
      </w:r>
    </w:p>
    <w:p>
      <w:pPr>
        <w:pStyle w:val="Normal"/>
        <w:ind w:start="450" w:end="0"/>
        <w:rPr/>
      </w:pPr>
      <w:r>
        <w:rPr/>
        <w:t xml:space="preserve">The valuation of this liability is established at $73,752,000 - There are no Plan assets underlying or funding set-aside to deliver these benefits.  The net expense for this plan is $ 6,046,000 for 2000 and projected at $ 7,186,000 for 2001.  These expenses are taken against general revenues. </w:t>
      </w:r>
    </w:p>
    <w:p>
      <w:pPr>
        <w:pStyle w:val="Normal"/>
        <w:rPr/>
      </w:pPr>
      <w:r>
        <w:rPr/>
      </w:r>
    </w:p>
    <w:p>
      <w:pPr>
        <w:pStyle w:val="Normal"/>
        <w:rPr/>
      </w:pPr>
      <w:r>
        <w:rPr/>
        <w:t>Please call if additional discussion is needed.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2000-09-20T23:43:00Z</dcterms:created>
  <dc:creator>rick johnson</dc:creator>
  <dc:description/>
  <dc:language>en-CA</dc:language>
  <cp:lastModifiedBy>rick johnson</cp:lastModifiedBy>
  <dcterms:modified xsi:type="dcterms:W3CDTF">2000-09-21T00:28:00Z</dcterms:modified>
  <cp:revision>1</cp:revision>
  <dc:subject/>
  <dc:title>INTEROFFICE MEMORANDUM</dc:title>
</cp:coreProperties>
</file>