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S"/>
        <w:rPr/>
      </w:pPr>
      <w:r>
        <w:rPr/>
        <w:t>Northern Natural Gas</w:t>
      </w:r>
    </w:p>
    <w:p>
      <w:pPr>
        <w:pStyle w:val="PS"/>
        <w:rPr>
          <w:sz w:val="32"/>
        </w:rPr>
      </w:pPr>
      <w:r>
        <w:rPr>
          <w:sz w:val="32"/>
        </w:rPr>
        <w:t>Due Diligence List</w:t>
      </w:r>
    </w:p>
    <w:p>
      <w:pPr>
        <w:pStyle w:val="Normal"/>
        <w:rPr>
          <w:sz w:val="32"/>
        </w:rPr>
      </w:pPr>
      <w:r>
        <w:rPr>
          <w:sz w:val="32"/>
        </w:rPr>
      </w:r>
    </w:p>
    <w:p>
      <w:pPr>
        <w:pStyle w:val="BLK1400"/>
        <w:rPr/>
      </w:pPr>
      <w:r>
        <w:rPr/>
      </w:r>
    </w:p>
    <w:p>
      <w:pPr>
        <w:pStyle w:val="BLK1400"/>
        <w:rPr>
          <w:sz w:val="24"/>
        </w:rPr>
      </w:pPr>
      <w:r>
        <w:rPr>
          <w:b/>
          <w:sz w:val="24"/>
        </w:rPr>
        <w:t>I.</w:t>
        <w:tab/>
        <w:t>Company History/General Information</w:t>
      </w:r>
    </w:p>
    <w:p>
      <w:pPr>
        <w:pStyle w:val="BLK1400"/>
        <w:rPr>
          <w:sz w:val="24"/>
        </w:rPr>
      </w:pPr>
      <w:r>
        <w:rPr>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Articles of Incorporation and By-laws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jurisdiction in which the company is qualified to do business or otherwise operate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b/>
                <w:sz w:val="20"/>
              </w:rPr>
            </w:pPr>
            <w:r>
              <w:rPr>
                <w:sz w:val="20"/>
              </w:rPr>
              <w:t>Minutes of meeting of the BOD or Executive Committees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b/>
                <w:sz w:val="20"/>
              </w:rPr>
            </w:pPr>
            <w:r>
              <w:rPr>
                <w:sz w:val="20"/>
              </w:rPr>
              <w:t>Agreements or arrangements granting right of refusal or other preferential right of property</w:t>
            </w:r>
          </w:p>
        </w:tc>
        <w:tc>
          <w:tcPr>
            <w:tcW w:w="3780"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None</w:t>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Documents evidencing outstanding subscriptions, options, rights, commitments or other agreements relating to the purchase or registration of the securities of the Company or any of its subsidiaries</w:t>
            </w:r>
          </w:p>
        </w:tc>
        <w:tc>
          <w:tcPr>
            <w:tcW w:w="3780"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None</w:t>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b/>
                <w:sz w:val="20"/>
              </w:rPr>
            </w:pPr>
            <w:r>
              <w:rPr>
                <w:sz w:val="20"/>
              </w:rPr>
              <w:t>Minutes of all shareholders’ meetings and written resolutions of shareholders of the Company and each subsidiary since inception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b/>
                <w:sz w:val="20"/>
              </w:rPr>
            </w:pPr>
            <w:r>
              <w:rPr>
                <w:sz w:val="20"/>
              </w:rPr>
              <w:t>Agreements between the Company and any of its subsidiaries and affiliates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b/>
                <w:sz w:val="20"/>
              </w:rPr>
            </w:pPr>
            <w:r>
              <w:rPr>
                <w:sz w:val="20"/>
              </w:rPr>
              <w:t>Related party agreements between any of the Company and its subsidiaries on the one hand and any of their affiliates, shareholders, officers, directors, employees or representatives on the other hand</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An organizational overview discussing key roles (provide organizational chart)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 detailed review of strategic relationships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b/>
                <w:sz w:val="20"/>
              </w:rPr>
            </w:pPr>
            <w:r>
              <w:rPr>
                <w:sz w:val="20"/>
              </w:rPr>
              <w:t>A narrative discussing current operations and growth strategy/future expansion plans/acquisitions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Reports, studies and analyses to or of the Company and its subsidiaries prepared by consultants, accountants, engineers, rating agencies, marketing consultants, intellectual property consultants, investment banks or other financial institutions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Corporate plans or similar reports prepared by management discussing the company, its business outlook, operation or projected performance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Copy of all transportation, gathering, marketing, storage, processing, treating or any other commercial contracts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Description of any contract that allows for renegotiation or termination of contract terms upon a change of control</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Market research/surveys of the Company (studies, analyses, expansion plans, and reports prepared in-house or by third party)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BLK1400"/>
        <w:numPr>
          <w:ilvl w:val="0"/>
          <w:numId w:val="2"/>
        </w:numPr>
        <w:ind w:hanging="720" w:start="720" w:end="0"/>
        <w:rPr>
          <w:b/>
          <w:sz w:val="24"/>
        </w:rPr>
      </w:pPr>
      <w:r>
        <w:rPr>
          <w:b/>
          <w:sz w:val="24"/>
        </w:rPr>
        <w:t>Operations</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Capacity of each pipeline and analysis of throughput volumes of the pipeline over the last 5 years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Wellhead gas supply and related decline rates, including history of wellhead connections (producers, gathering systems and/or other pipelines), if any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Gas supply contracts with related parties (e.g., Enron)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Profile of gas reserves in Company’s operating regions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 xml:space="preserve">Projection for new gas supplies in Company’s operating regions </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Existing pipeline interconnections (gathering systems, pipelines, etc.)</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 xml:space="preserve">Interconnection expansion possibilities in supply new areas </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snapToGrid w:val="false"/>
              <w:rPr>
                <w:sz w:val="20"/>
              </w:rPr>
            </w:pPr>
            <w:r>
              <w:rPr>
                <w:sz w:val="20"/>
              </w:rPr>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Interconnections in market areas and prospective interconnections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Physical condition of the pipeline, including historical maintenance program and timeline to next major overhaul</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Profile of existing pipeline transportation contracts both firm and interruptible (company, location, volume, price and terms)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Profile of each major customer, including type of business, demand profile, credit worthiness, etc.</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Description of intercompany fees paid to the company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Description of intercompany fees paid by the company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 xml:space="preserve">Description of trading operations, if any </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 schedule showing all technology/intellectual property/patents/trademarks/copyrights for technology used, licensed or in development, if any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Copies of all technical due diligence reports from third parties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 narrative discussing relationships with vendors/key suppliers.  Provide any relevant documentation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Vendor and/or customer financing arrangements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BLK1400"/>
        <w:rPr>
          <w:sz w:val="24"/>
        </w:rPr>
      </w:pPr>
      <w:r>
        <w:rPr>
          <w:sz w:val="24"/>
        </w:rPr>
      </w:r>
    </w:p>
    <w:p>
      <w:pPr>
        <w:pStyle w:val="BLK1400"/>
        <w:rPr>
          <w:sz w:val="24"/>
        </w:rPr>
      </w:pPr>
      <w:r>
        <w:rPr>
          <w:sz w:val="24"/>
        </w:rPr>
      </w:r>
    </w:p>
    <w:p>
      <w:pPr>
        <w:pStyle w:val="BLK1400"/>
        <w:rPr>
          <w:b/>
          <w:sz w:val="24"/>
        </w:rPr>
      </w:pPr>
      <w:r>
        <w:rPr>
          <w:b/>
          <w:sz w:val="24"/>
        </w:rPr>
        <w:t>III.</w:t>
        <w:tab/>
        <w:t xml:space="preserve">Reglatory </w:t>
      </w:r>
    </w:p>
    <w:p>
      <w:pPr>
        <w:pStyle w:val="BLK1400"/>
        <w:ind w:hanging="360" w:start="360" w:end="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Provide a copy or access to Arthur Andersen 2000 Form 2 work papers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Provide copy of most recent audit report by the FERC</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Status of annual filings with the FERC</w:t>
            </w:r>
          </w:p>
        </w:tc>
        <w:tc>
          <w:tcPr>
            <w:tcW w:w="378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Provide copy of 2000 blanket certificate report pursuant to 18 CFR Section 157.207</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Provide a copy of the most recent FERC order(s) that govern current rates being charged in NNG's FERC Gas Tariff as discussed in Footnote #8 in the Notes to Financial Statements of NNG's 2000 Form 2.</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Current copy of NNG FERC Gas Tariff.  What software is used to produce tariff?</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Copy of all pending rate or certificate filings at FERC and with any state commissions.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impact of any acquisition or disposition on rate base since the last rate case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Copy of most recent depreciation study used to support current depreciation rates.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Current depreciation rates by FERC account.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Copy of most current reconciliation of detail property records to general ledger by FERC account.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bl>
    <w:p>
      <w:pPr>
        <w:pStyle w:val="BLK1400"/>
        <w:rPr>
          <w:sz w:val="24"/>
        </w:rPr>
      </w:pPr>
      <w:r>
        <w:rPr>
          <w:sz w:val="24"/>
        </w:rPr>
      </w:r>
    </w:p>
    <w:p>
      <w:pPr>
        <w:pStyle w:val="BLK1400"/>
        <w:rPr>
          <w:sz w:val="24"/>
        </w:rPr>
      </w:pPr>
      <w:r>
        <w:rPr>
          <w:sz w:val="24"/>
        </w:rPr>
      </w:r>
    </w:p>
    <w:p>
      <w:pPr>
        <w:pStyle w:val="BLK1400"/>
        <w:ind w:hanging="720" w:start="720" w:end="0"/>
        <w:rPr>
          <w:b/>
          <w:sz w:val="24"/>
        </w:rPr>
      </w:pPr>
      <w:r>
        <w:rPr>
          <w:b/>
          <w:sz w:val="24"/>
        </w:rPr>
        <w:t>IV.</w:t>
        <w:tab/>
        <w:t xml:space="preserve">Financial </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Operating data underlying financial projections assumptions (revenue, expense and capital expenditures) – next 12 months and 5 year plan</w:t>
            </w:r>
            <w:r>
              <w:rPr>
                <w:i/>
                <w:sz w:val="20"/>
              </w:rPr>
              <w: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the nature of Gas and Liquids Sold revenue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the nature of  Other revenue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the nature of  storage services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Audited financials (if available) including notes and booked adjustments for the last 3 years</w:t>
            </w:r>
          </w:p>
        </w:tc>
        <w:tc>
          <w:tcPr>
            <w:tcW w:w="3780"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Received</w:t>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Interim financial statements (9/30/01 or more recent) with management discussion/analysis of operating results</w:t>
            </w:r>
          </w:p>
        </w:tc>
        <w:tc>
          <w:tcPr>
            <w:tcW w:w="3780"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Received 9/30/01 F/S.  Need MD&amp;A for 9/30/01 F/S and any more recent F/S.</w:t>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Comparison of historical financial performance vs. budget (discuss significant positive/negative variances) for the last 3 years and the 9/30/01 interim financial statements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Details of all derivative and hedging activity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the nature of capital expenditures over the last 3 years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the nature of acquisitions and dispositions over the last 3 years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the nature of Regulatory Assets and Liabilities and potential impact of ability to recover upon a change of control</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the nature of other assets and liabilities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Transition Cost Obligations on the balance sheet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customer concentration and potential credit risk</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top 10 customers ranked by percent of revenue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Management reports used for tracking and planning of business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Accounting policies:  revenue recognition/capitalization/composition of line items/depreciation/amortization (provide policies)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Schedule and description of any related party transactions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BLK1400"/>
        <w:rPr>
          <w:sz w:val="24"/>
        </w:rPr>
      </w:pPr>
      <w:r>
        <w:rPr>
          <w:sz w:val="24"/>
        </w:rPr>
      </w:r>
    </w:p>
    <w:p>
      <w:pPr>
        <w:pStyle w:val="BLK1400"/>
        <w:rPr>
          <w:sz w:val="24"/>
        </w:rPr>
      </w:pPr>
      <w:r>
        <w:rPr>
          <w:sz w:val="24"/>
        </w:rPr>
      </w:r>
    </w:p>
    <w:p>
      <w:pPr>
        <w:pStyle w:val="BLK1400"/>
        <w:rPr>
          <w:b/>
          <w:sz w:val="24"/>
        </w:rPr>
      </w:pPr>
      <w:r>
        <w:rPr>
          <w:b/>
          <w:sz w:val="24"/>
        </w:rPr>
        <w:t>V.</w:t>
        <w:tab/>
        <w:t>Additional Financial Information</w:t>
      </w:r>
    </w:p>
    <w:p>
      <w:pPr>
        <w:pStyle w:val="Normal"/>
        <w:rPr/>
      </w:pPr>
      <w:r>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Details of bad debt reserve or other comparable provisions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fixed assets including date in service and depreciation to date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Documentation of any acquisitions of assets or equity, dispositions of assets or equity, mergers, reorganizations, investments in affiliates or third parties or any other extraordinary event involving the Company and its subsidiaries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All documents purporting to create liens, mortgages, security interests, pledges, charges, or other encumbrances on real or personal property in favor or against the assets of the company.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Schedule of lease agreements including terms and details of scheduled payments in excess of $5000/yr.</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Escrow agreements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Agreements or commitments relation to current and planned capital expenditures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Details of any company financial or operating commitments not disclosed in the financial statements or provided in other requested documentation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List of easements and rights-of way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BLK1400"/>
        <w:rPr>
          <w:sz w:val="24"/>
        </w:rPr>
      </w:pPr>
      <w:r>
        <w:rPr>
          <w:sz w:val="24"/>
        </w:rPr>
      </w:r>
    </w:p>
    <w:p>
      <w:pPr>
        <w:pStyle w:val="BLK1400"/>
        <w:rPr>
          <w:sz w:val="24"/>
        </w:rPr>
      </w:pPr>
      <w:r>
        <w:rPr>
          <w:sz w:val="24"/>
        </w:rPr>
      </w:r>
    </w:p>
    <w:p>
      <w:pPr>
        <w:pStyle w:val="BLK1400"/>
        <w:rPr>
          <w:sz w:val="24"/>
        </w:rPr>
      </w:pPr>
      <w:r>
        <w:rPr>
          <w:sz w:val="24"/>
        </w:rPr>
      </w:r>
    </w:p>
    <w:p>
      <w:pPr>
        <w:pStyle w:val="BLK1400"/>
        <w:rPr>
          <w:sz w:val="24"/>
        </w:rPr>
      </w:pPr>
      <w:r>
        <w:rPr>
          <w:sz w:val="24"/>
        </w:rPr>
      </w:r>
    </w:p>
    <w:p>
      <w:pPr>
        <w:pStyle w:val="BLK1400"/>
        <w:rPr>
          <w:sz w:val="24"/>
        </w:rPr>
      </w:pPr>
      <w:r>
        <w:rPr>
          <w:sz w:val="24"/>
        </w:rPr>
      </w:r>
      <w:r>
        <w:br w:type="page"/>
      </w:r>
    </w:p>
    <w:p>
      <w:pPr>
        <w:pStyle w:val="BLK1400"/>
        <w:ind w:hanging="720" w:start="720" w:end="0"/>
        <w:rPr>
          <w:b/>
          <w:sz w:val="24"/>
        </w:rPr>
      </w:pPr>
      <w:r>
        <w:rPr>
          <w:b/>
          <w:sz w:val="24"/>
        </w:rPr>
        <w:t>VI.</w:t>
        <w:tab/>
        <w:t>Human Resources</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List of key employees and management; Org charts by location or function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Summary headcount report and projected hiring goals for current year</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Copies of all employment or retention agreements of the Company and/or any subsidiaries, change of control agreements, and documentation of any incentive payment plans, divestiture incentive plans, bonus plans, club benefits, and company cars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Independent contractor or consulting agreements; summary headcount of contractors and consultants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Non-competition agreements and Non-disclosure/confidentiality agreements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Copies of any current Collective Bargaining Agreements and/or alleged collateral agreements; or documents relating to recent organizing attempts and results. If unions exist, need summary of union grievances and status for each. Summarize current relations with each union, along with strike history (dates, duration, issues, settlement terms).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Employee Census (name, SSN or employee ID, country, city/state, function, job title, wage grade, base salary, incentive comp target %, service date, birth date, race, gender, status (union or nonunion)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names/contact numbers for management diligence calls (all Senior Management)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Copy of each incentive, welfare and retirement plan, SPDs and termination resolutions of the Company and its subsidiaries and any one-off arrangements, including ESOP, stock bonus, incentive compensation and option plans or agreements, deferred compensation plans, pension and profit sharing plans, medical and group insurance plans, and severance policies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List of all benefit plans (e.g., retirement, welfare, severance, retiree plans etc.) and HR programs and/or policies (e.g., sick leave, vacation, holidays, Paid Time Off Programs, and leaves)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For all benefit plans, please provide Plan documents, amendments and summary plan descriptions, including any subsequent Summaries of Material Modifications that may exist as well as recent employee communications related to any of the benefit plans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Documentation on any HR programs and/or policies not covered above.  (e.g., summary of bonus programs, vacation accrual policy)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Actuarial reports prepared for any employee benefit plan of the Company or any subsidiary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Copies of all existing HR policies (EEO, ADA, sexual harassment, workplace violence, attendance, disciplines, leaves, vacation, and employment applications, records of  reference checking, substance abuse testing, and personnel files)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Most recent plan valuations  (2 years).  This should include the detail report of plan expenses, liabilities, assets and actuarial assumptions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Grievances, ULPs, and or/judgments related to the CBAs in the last 2 years (or longer, if continuing obligations); strike history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EEOC charges, lawsuits and/or judgments entered or settlement agreements reached in the last 2 years (including, discrimination, harassment, workers’ comp and ERISA claims, or otherwise), including any compliance agreements, consent decrees, etc. with any governmental agency (ie. OFCCP, EEOC, DOL, etc.)</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Summary of Workmen’s’ Compensation claims over the last 3 years and status of each claim; on-the-job injury history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OSHA citations, files, logs and records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Confirmation of government reporting (5500’s)  and benefit compliance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Internal/External audit findings (formal management letter) for each plan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Insurance contracts with carriers and associated rates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Firm names, contact and address of 3rd party vendors and a brief description of services offered: 1) Actuary 2) Recordkeepers 3)Trustee 4) Third Party Administrators 5)Plan Administrators 6) Claims Administrators 7) Investment managers 8)Accounting firms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Listing of employees, including inactive employees on leave of absence.  Include a count by location, name, SSN, sex, hire date, date of birth, salary, location, and titles.  If possible, would like this information in electronic form</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Listing of retirees including a count, name, SSN, sex, date of birth, age, years of service, retirement date and years since retirement.  If possible, would like this information in electronic form</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any loans made to Directors, Officers or any employees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any bonus or special compensations paid to Directors, Officers or employees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List of expatriates, copies of term sheets, expatriate policies and/or work permits?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any pending government compliance audits, administrative proceedings, employee grievances regarding compliance with wage, overtime, or safety and health issues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LST1601"/>
        <w:rPr/>
      </w:pPr>
      <w:r>
        <w:rPr/>
      </w:r>
    </w:p>
    <w:p>
      <w:pPr>
        <w:pStyle w:val="LST1601"/>
        <w:rPr/>
      </w:pPr>
      <w:r>
        <w:rPr/>
      </w:r>
    </w:p>
    <w:p>
      <w:pPr>
        <w:pStyle w:val="BLK1400"/>
        <w:rPr>
          <w:b/>
          <w:sz w:val="24"/>
        </w:rPr>
      </w:pPr>
      <w:r>
        <w:rPr>
          <w:b/>
          <w:sz w:val="24"/>
        </w:rPr>
        <w:t>VII.</w:t>
        <w:tab/>
        <w:t>Accounting</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Copy of internal control letter or recommendations to management for the last two fiscal years regarding necessary improvements in policies and procedures made by the Company’s internal and/or external auditors.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EDP back up and disaster recovery procedures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Copy of credit policy or summary of credit review that the company performs before extending credit to a customer</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Detailed list of inventory including inventory control procedures and methodology for valuing inventory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Overview of company safety program</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Purchasing policies and procedures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Narrative discussing the company’s internal approval process/controls for all contract and product/service pricing</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bl>
    <w:p>
      <w:pPr>
        <w:pStyle w:val="LST1601"/>
        <w:rPr/>
      </w:pPr>
      <w:r>
        <w:rPr/>
      </w:r>
    </w:p>
    <w:p>
      <w:pPr>
        <w:pStyle w:val="LST1601"/>
        <w:rPr/>
      </w:pPr>
      <w:r>
        <w:rPr/>
      </w:r>
    </w:p>
    <w:p>
      <w:pPr>
        <w:pStyle w:val="BLK1400"/>
        <w:numPr>
          <w:ilvl w:val="0"/>
          <w:numId w:val="3"/>
        </w:numPr>
        <w:rPr>
          <w:b/>
          <w:sz w:val="24"/>
        </w:rPr>
      </w:pPr>
      <w:r>
        <w:rPr>
          <w:b/>
          <w:sz w:val="24"/>
        </w:rPr>
        <w:t>Legal and Environmental</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Indemnification agreements between the Company and any other party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Schedule of outstanding audit claims (against others or against the Company) and audits in progress (or scheduled for 1999) by joint venture partners, state or federal regulatory agencies.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litigation or potential litigation with possible material impact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Details of any environmental issues including any regulatory citations for violations or potential liability as a potentially responsible party (PRP) in clean up of a Superfund site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Environmental reports, assessment notices, surveys and environmental compliance records (since inception of the Company).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Preparation for any new environmental regulation and related financial reserved and unreserved amounts for compliance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Normal"/>
        <w:rPr/>
      </w:pPr>
      <w:r>
        <w:rPr/>
      </w:r>
    </w:p>
    <w:p>
      <w:pPr>
        <w:pStyle w:val="Normal"/>
        <w:rPr/>
      </w:pPr>
      <w:r>
        <w:rPr/>
      </w:r>
    </w:p>
    <w:p>
      <w:pPr>
        <w:pStyle w:val="Heading1"/>
        <w:ind w:hanging="0" w:start="0"/>
        <w:rPr>
          <w:sz w:val="24"/>
        </w:rPr>
      </w:pPr>
      <w:r>
        <w:rPr>
          <w:sz w:val="24"/>
        </w:rPr>
        <w:t>Insurance</w:t>
      </w:r>
    </w:p>
    <w:p>
      <w:pPr>
        <w:pStyle w:val="Normal"/>
        <w:rPr>
          <w:sz w:val="24"/>
        </w:rPr>
      </w:pPr>
      <w:r>
        <w:rPr>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highlight w:val="black"/>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Insurance policies/coverage and claims history for the last 3 years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Heading3"/>
              <w:rPr>
                <w:sz w:val="20"/>
              </w:rPr>
            </w:pPr>
            <w:r>
              <w:rPr>
                <w:sz w:val="20"/>
              </w:rPr>
              <w:t>List of all property and liability insurance policies listing the current carrier(s),</w:t>
            </w:r>
          </w:p>
          <w:p>
            <w:pPr>
              <w:pStyle w:val="Normal"/>
              <w:rPr/>
            </w:pPr>
            <w:r>
              <w:rPr/>
              <w:t>description of program (limits, deductibles, retentions, etc.), premium history, and</w:t>
            </w:r>
          </w:p>
          <w:p>
            <w:pPr>
              <w:pStyle w:val="BLK1400"/>
              <w:jc w:val="start"/>
              <w:rPr>
                <w:sz w:val="20"/>
              </w:rPr>
            </w:pPr>
            <w:r>
              <w:rPr>
                <w:sz w:val="20"/>
              </w:rPr>
              <w:t>status of any aggregates for current or prior periods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Complete insurance claim loss history for the past five years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Gross Annual Revenues in U. S. Dollars by Business Segment (pipeline, storage, processing, etc.).</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Annual Payroll by Workers Compensation Class Code (i.e., Managerial, Clerical, Field, Offshore) for each of the following types of employees: Local Nationals, U.S. Expatriates, Third Country Nationals, Contract Employees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The number of employees for each of the following types of employees: Local Nationals, U.S. Expatriates, Third Country Nationals, Contract Employees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Copies of Workers Compensation Payroll Audits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Facilities Owned or Leased (if owned, construction information such as exterior walls – brick/concrete, roof – metal/wood/concrete, sprinklers/fire alarms/burglar alarms present;</w:t>
            </w:r>
          </w:p>
          <w:p>
            <w:pPr>
              <w:pStyle w:val="BLK1400"/>
              <w:jc w:val="start"/>
              <w:rPr>
                <w:sz w:val="20"/>
              </w:rPr>
            </w:pPr>
            <w:r>
              <w:rPr>
                <w:sz w:val="20"/>
              </w:rPr>
              <w:t>If leased, copy of the Lease Agreement)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Properties Subject To Flood Zones, Earthquake Exposures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Copies of Probable Maximum Loss Studies, Loss Control/Risk Engineering Reports, and a detailed listing of all assets with replacement cost values and business interruption values (list previous year end annual revenues, projected annual revenues, projected annual gross margin and projected annual operating expenses)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pPr>
            <w:r>
              <w:rPr>
                <w:sz w:val="20"/>
              </w:rPr>
              <w:t>Any 3</w:t>
            </w:r>
            <w:r>
              <w:rPr>
                <w:sz w:val="20"/>
                <w:vertAlign w:val="superscript"/>
              </w:rPr>
              <w:t>rd</w:t>
            </w:r>
            <w:r>
              <w:rPr>
                <w:sz w:val="20"/>
              </w:rPr>
              <w:t xml:space="preserve"> party owned property that the company is responsible for insuring</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Below/above ground storage facilities (describe the product stored, average monthly storage volumes, and capacity)</w:t>
            </w:r>
          </w:p>
        </w:tc>
        <w:tc>
          <w:tcPr>
            <w:tcW w:w="3780"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No storage</w:t>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Description of Property or Products Shipped, Type of Conveyance, Terms of Sale, Points of Origin/Destination, Average Value Per Shipment, Total Number of Shipments in last 12 Months, Aggregate Value of Shipments in last 12 Months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Vehicle Information ( Schedule of the Vehicles including vehicle identification number, make, model and where garaged), including type, vehicle number and whether owned or leased for all automobiles, small trucks, tractors, mobile equipment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Historical hazardous waste disposal practices and sites (including owned and non owned sites)</w:t>
            </w:r>
          </w:p>
          <w:p>
            <w:pPr>
              <w:pStyle w:val="BLK1400"/>
              <w:jc w:val="start"/>
              <w:rPr>
                <w:sz w:val="20"/>
              </w:rPr>
            </w:pPr>
            <w:r>
              <w:rPr>
                <w:sz w:val="20"/>
              </w:rPr>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Presence of active or inactive above or underground storage tanks (UST’s)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List of asbestos containing materials found in buildings and used as insulation for boilers, tanks, piping and steam lines.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lead based paint used on buildings or on out door aboveground storage tanks.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all PCB – containing electrical equipment.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List and describe any pending or on-going environmental clean up work or known or anticipated remedial obligations.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Copies of all environmental assessment, inspection, or compliance reports (internal and external) that have been prepared with respect to the Company or any of the Subsidiaries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List of any 3</w:t>
            </w:r>
            <w:r>
              <w:rPr>
                <w:vertAlign w:val="superscript"/>
              </w:rPr>
              <w:t>rd</w:t>
            </w:r>
            <w:r>
              <w:rPr/>
              <w:t xml:space="preserve"> party/customer gas in storage that the company is respnsible for insuring (product stored, average monthly storage volumes, and capacity).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wells, offshore platforms, pipelines, and gas storage facilities</w:t>
            </w:r>
          </w:p>
        </w:tc>
        <w:tc>
          <w:tcPr>
            <w:tcW w:w="3780"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NA</w:t>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Pipeline information should include description (location), company’s percentage interest, pipe diameter, length of pipe, product, any major water crossings (e.g., river, lake, bay) pipeline stretch (from and to), and the replacement cost/business interruption value for the company’s interest in each pipeline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pPr>
            <w:r>
              <w:rPr>
                <w:sz w:val="20"/>
              </w:rPr>
              <w:t xml:space="preserve">Employment Practices Liability Policy </w:t>
            </w:r>
            <w:r>
              <w:rPr>
                <w:b/>
                <w:sz w:val="20"/>
              </w:rPr>
              <w:t xml:space="preserve">– </w:t>
            </w:r>
            <w:r>
              <w:rPr>
                <w:sz w:val="20"/>
              </w:rPr>
              <w:t>claims and premium history/description of program (limits, retentions and deductibles) – most recent application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Director’s and Officer’s Liability Insurance Policy – details of program (carrier,</w:t>
            </w:r>
          </w:p>
          <w:p>
            <w:pPr>
              <w:pStyle w:val="BLK1400"/>
              <w:jc w:val="start"/>
              <w:rPr>
                <w:sz w:val="20"/>
              </w:rPr>
            </w:pPr>
            <w:r>
              <w:rPr>
                <w:sz w:val="20"/>
              </w:rPr>
              <w:t>limits, retentions and deductibles) – claims/premium history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 xml:space="preserve">Fiduciary Liability Insurance – (Health/Welfare/Pension Plans) </w:t>
            </w:r>
          </w:p>
          <w:p>
            <w:pPr>
              <w:pStyle w:val="BLK1400"/>
              <w:jc w:val="start"/>
              <w:rPr>
                <w:sz w:val="20"/>
              </w:rPr>
            </w:pPr>
            <w:r>
              <w:rPr>
                <w:sz w:val="20"/>
              </w:rPr>
              <w:t>Details of  program (carrier, limits, deductibles, etc.) - details on all ERISA plans in place (including name of plan, plan administrator, investment ).</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Crime Insurance Coverage – description of program (limits, retentions and deductibles)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Marine Cargo Insurance and Protection and Indemnity Insurance – details of watercraft, replacement values, vessels owned/non owned, chartering of third party vessels, loss history, etc.</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Captive Insurance company insurance schedule, feasibility study for the captive, and its latest financial statements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Details of any obligations to customers and associated reserves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LST1601"/>
        <w:rPr/>
      </w:pPr>
      <w:r>
        <w:rPr/>
      </w:r>
    </w:p>
    <w:p>
      <w:pPr>
        <w:pStyle w:val="LST1601"/>
        <w:rPr/>
      </w:pPr>
      <w:r>
        <w:rPr/>
      </w:r>
    </w:p>
    <w:p>
      <w:pPr>
        <w:pStyle w:val="BLK1400"/>
        <w:rPr>
          <w:b/>
          <w:sz w:val="24"/>
        </w:rPr>
      </w:pPr>
      <w:r>
        <w:rPr>
          <w:b/>
          <w:sz w:val="24"/>
        </w:rPr>
        <w:t>X.</w:t>
        <w:tab/>
        <w:t>Compliance with Laws</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Citations and notices received from government agencies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Pending investigations and governmental proceedings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List of applicable regulatory bodies which govern the Company’s operations and discussion of the Company’s compliance history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Governmental or regulatory permits, licenses, filings or authorizations of the Company and its subsidiaries (including FTC, FCC, OSHA, EPA, NLRB, EEOC) with respect to any federal, state, local or foreign governmental entity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Reports to and correspondence with government agencies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Normal"/>
        <w:rPr>
          <w:sz w:val="24"/>
        </w:rPr>
      </w:pPr>
      <w:r>
        <w:rPr>
          <w:sz w:val="24"/>
        </w:rPr>
      </w:r>
    </w:p>
    <w:p>
      <w:pPr>
        <w:pStyle w:val="Normal"/>
        <w:rPr>
          <w:sz w:val="24"/>
        </w:rPr>
      </w:pPr>
      <w:r>
        <w:rPr>
          <w:sz w:val="24"/>
        </w:rPr>
      </w:r>
    </w:p>
    <w:p>
      <w:pPr>
        <w:pStyle w:val="BLK1400"/>
        <w:rPr>
          <w:b/>
          <w:sz w:val="24"/>
        </w:rPr>
      </w:pPr>
      <w:r>
        <w:rPr>
          <w:b/>
          <w:sz w:val="24"/>
        </w:rPr>
        <w:t>XI.</w:t>
        <w:tab/>
        <w:t>Tax</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Diagram of the company’s corporate structure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Description of all material tax issues, including a listing by description and amount of all significant audit exposure items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Listing of all tax disputes by taxing authority and amount in controversy, together with all documentation concerning any deficiencies or ongoing tax disputes, including revenue agents reports and correspondence or complaints with regard to federal, state, local or foreign tax proceedings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Copies of all tax sharing or tax allocation agreements and any other agreements relating to the payment of income or other taxes by the Entity, including any contracts pursuant to which the Entity may be obligated to indemnify the tax liability of another taxpayer</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Copies of tax returns (both state and federal) and related worksheets for the Entity for the previous 3 years, including worksheets showing accumulated and current earnings and profits calculations for the Entity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Copies of all agreements in force extending the time for filing federal, state, local and foreign income tax returns or waiving statues of limitation and a schedule of periods for which tax assessments of any type are not barred by the statute of limitations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Copies of all tax rulings received (or requests for rulings withdrawn prior to receipt of a ruling) from any taxing authority relating to any tax issue currently relevant to the Entity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Provide a schedule of any adjustments required pursuant to section 481 of the Internal Revenue Code of 1986 (the “Code”)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color w:val="000000"/>
                <w:sz w:val="20"/>
                <w:lang w:eastAsia="en-US"/>
              </w:rPr>
              <w:t>Property tax returns for years 2000 and 2001 on all plants and storage facilities, and property tax returns from three counties that are representative of the pipeline returns.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Correspondence between the Company or any subsidiary and any taxing authority not previously covered above for the last five years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Normal"/>
        <w:rPr>
          <w:sz w:val="24"/>
        </w:rPr>
      </w:pPr>
      <w:r>
        <w:rPr>
          <w:sz w:val="24"/>
        </w:rPr>
      </w:r>
    </w:p>
    <w:p>
      <w:pPr>
        <w:pStyle w:val="Normal"/>
        <w:rPr>
          <w:sz w:val="24"/>
        </w:rPr>
      </w:pPr>
      <w:r>
        <w:rPr>
          <w:sz w:val="24"/>
        </w:rPr>
      </w:r>
    </w:p>
    <w:p>
      <w:pPr>
        <w:pStyle w:val="Normal"/>
        <w:rPr>
          <w:sz w:val="24"/>
        </w:rPr>
      </w:pPr>
      <w:r>
        <w:rPr>
          <w:sz w:val="24"/>
        </w:rPr>
      </w:r>
    </w:p>
    <w:p>
      <w:pPr>
        <w:pStyle w:val="BLK1400"/>
        <w:rPr>
          <w:b/>
          <w:sz w:val="24"/>
        </w:rPr>
      </w:pPr>
      <w:r>
        <w:rPr>
          <w:b/>
          <w:sz w:val="24"/>
        </w:rPr>
        <w:t>XII.</w:t>
        <w:tab/>
        <w:t>Other Material Documents</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Prospectuses, placement memoranda or offering circulars relation to any offerings of debt securities by the Company or any subsidiary and any agreements relation to such offerings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Annual, quarterly and other reports to joint venture partners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Contracts or agreements of the Company and its subsidiaries including: purchase contracts that provide for payments in excess of $5,000 per year, service agreements, joint venture agreements, partnership agreements, options, barter arrangements, investment contracts, sales, advertising, and marketing agreements, research and development arrangements, government contracts, agreements relating to supply of services and guarantees of obligations or warranties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Discussion of facilities and technology shared with parent company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Information technology improvement plans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Normal"/>
        <w:rPr/>
      </w:pPr>
      <w:r>
        <w:rPr/>
      </w:r>
    </w:p>
    <w:p>
      <w:pPr>
        <w:pStyle w:val="Normal"/>
        <w:rPr/>
      </w:pPr>
      <w:r>
        <w:rPr/>
      </w:r>
    </w:p>
    <w:p>
      <w:pPr>
        <w:pStyle w:val="Normal"/>
        <w:rPr/>
      </w:pPr>
      <w:r>
        <w:rPr/>
      </w:r>
    </w:p>
    <w:p>
      <w:pPr>
        <w:pStyle w:val="Normal"/>
        <w:rPr/>
      </w:pPr>
      <w:r>
        <w:rPr/>
      </w:r>
    </w:p>
    <w:sectPr>
      <w:footerReference w:type="default" r:id="rId2"/>
      <w:footerReference w:type="first" r:id="rId3"/>
      <w:type w:val="nextPage"/>
      <w:pgSz w:w="12240" w:h="15840"/>
      <w:pgMar w:left="1080" w:right="1080" w:gutter="0" w:header="0" w:top="1296" w:footer="432"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ind w:start="-864" w:end="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/mnt/main-storage/datasets/enron-docs/doc/DD_Request_List-c4f4119e4c9ff1575306f6c4eab287e9d1fa8226883581757c6ce9a2d39aa3b9.doc</w:t>
    </w:r>
    <w:r>
      <w:rPr>
        <w:sz w:val="16"/>
      </w:rPr>
      <w:fldChar w:fldCharType="end"/>
    </w:r>
  </w:p>
  <w:p>
    <w:pPr>
      <w:pStyle w:val="Footer"/>
      <w:ind w:start="-864" w:end="0"/>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pStyle w:val="Heading1"/>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Roman"/>
      <w:lvlText w:val="%1. "/>
      <w:lvlJc w:val="start"/>
      <w:pPr>
        <w:tabs>
          <w:tab w:val="num" w:pos="360"/>
        </w:tabs>
        <w:ind w:start="360" w:hanging="360"/>
      </w:pPr>
      <w:rPr>
        <w:sz w:val="24"/>
        <w:i w:val="false"/>
        <w:b/>
      </w:rPr>
    </w:lvl>
  </w:abstractNum>
  <w:abstractNum w:abstractNumId="3">
    <w:lvl w:ilvl="0">
      <w:start w:val="8"/>
      <w:numFmt w:val="upperRoman"/>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3">
    <w:name w:val="heading 3"/>
    <w:basedOn w:val="Normal"/>
    <w:next w:val="Normal"/>
    <w:qFormat/>
    <w:pPr>
      <w:keepNext w:val="true"/>
      <w:outlineLvl w:val="2"/>
    </w:pPr>
    <w:rPr>
      <w:sz w:val="24"/>
    </w:rPr>
  </w:style>
  <w:style w:type="paragraph" w:styleId="Heading4">
    <w:name w:val="heading 4"/>
    <w:basedOn w:val="Normal"/>
    <w:next w:val="Normal"/>
    <w:qFormat/>
    <w:pPr>
      <w:keepNext w:val="true"/>
      <w:ind w:hanging="0" w:start="3600" w:end="0"/>
      <w:outlineLvl w:val="3"/>
    </w:pPr>
    <w:rPr>
      <w:sz w:val="24"/>
      <w:u w:val="single"/>
    </w:rPr>
  </w:style>
  <w:style w:type="character" w:styleId="WW8Num4z0">
    <w:name w:val="WW8Num4z0"/>
    <w:qFormat/>
    <w:rPr>
      <w:b/>
      <w:i w:val="false"/>
      <w:sz w:val="24"/>
    </w:rPr>
  </w:style>
  <w:style w:type="character" w:styleId="WW8Num5z0">
    <w:name w:val="WW8Num5z0"/>
    <w:qFormat/>
    <w:rPr/>
  </w:style>
  <w:style w:type="character" w:styleId="WW8Num6z0">
    <w:name w:val="WW8Num6z0"/>
    <w:qFormat/>
    <w:rPr/>
  </w:style>
  <w:style w:type="character" w:styleId="WW8NumSt4z0">
    <w:name w:val="WW8NumSt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S">
    <w:name w:val="PS"/>
    <w:basedOn w:val="Normal"/>
    <w:next w:val="Normal"/>
    <w:qFormat/>
    <w:pPr>
      <w:jc w:val="center"/>
    </w:pPr>
    <w:rPr>
      <w:sz w:val="40"/>
    </w:rPr>
  </w:style>
  <w:style w:type="paragraph" w:styleId="BLK1200">
    <w:name w:val="BLK12/0/0"/>
    <w:basedOn w:val="Normal"/>
    <w:qFormat/>
    <w:pPr>
      <w:jc w:val="both"/>
    </w:pPr>
    <w:rPr>
      <w:sz w:val="24"/>
    </w:rPr>
  </w:style>
  <w:style w:type="paragraph" w:styleId="BLK1400">
    <w:name w:val="BLK14/0/0"/>
    <w:basedOn w:val="BLK1200"/>
    <w:qFormat/>
    <w:pPr/>
    <w:rPr>
      <w:sz w:val="28"/>
    </w:rPr>
  </w:style>
  <w:style w:type="paragraph" w:styleId="LST1601">
    <w:name w:val="LST16/0/1"/>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2001-11-26T21:28:00Z</dcterms:created>
  <dc:creator>kyke</dc:creator>
  <dc:description/>
  <dc:language>en-CA</dc:language>
  <cp:lastModifiedBy>kyke</cp:lastModifiedBy>
  <cp:lastPrinted>2001-11-26T19:34:00Z</cp:lastPrinted>
  <dcterms:modified xsi:type="dcterms:W3CDTF">2001-11-26T23:20:00Z</dcterms:modified>
  <cp:revision>5</cp:revision>
  <dc:subject/>
  <dc:title>Strategic Investments</dc:title>
</cp:coreProperties>
</file>