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2002, through May 31, 2003.</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90,000 MMBtu per day.</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r>
        <w:rPr>
          <w:rFonts w:cs="Arial" w:ascii="Arial" w:hAnsi="Arial"/>
          <w:sz w:val="24"/>
        </w:rPr>
        <w:t xml:space="preserve"> The point of interconnection between Southern Natural Gas Company and Destin Pipeline Company.  Seller shall have the option, at any time and from time to time, on not less than 2 business days’ prior notice to Buyer to make deliveries of gas hereunder at the Secondary Delivery Point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Contract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  unless such option is exercised during, and as a result of a force majeure event (as defined by the Agreement) affecting Seller’s deliveries at the Primary Delivery Point, the Contract Price for  deliveries at the Secondary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 during and as a result of a force majeure event (as defined by the Agreement) affecting Seller’s deliveries at the Primary Delivery Point, the Contract Price for deliveries at the Secondary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Goat Rock, Alabama site by no later than April 1, 2001.   Seller’s obligations under this Confirmation Letter shall be subject to and conditioned upon the receipt by Southern LNG Inc. by no later than April 1, 2001, of any and all United States federal, state or local licenses, permits, authorizations, or other approvals necessary for it to reactivate the Elba Island LNG marine terminal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BodyText"/>
        <w:rPr/>
      </w:pPr>
      <w:r>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2003, through May 31, 2012.</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160,000 MMBtu per day.</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r>
        <w:rPr>
          <w:rFonts w:cs="Arial" w:ascii="Arial" w:hAnsi="Arial"/>
          <w:sz w:val="24"/>
        </w:rPr>
        <w:t xml:space="preserve"> The point of interconnection between Southern Natural Gas Company and Destin Pipeline Company.  Seller shall have the option (i) at any time during the months of April, May, October, November and December on not less than 5 days’ notice prior to the beginning of the month in which such option is to be exercised and (ii) during an event of force majeure (as defined by the Agreement) affecting Seller’s deliveries at the Primary Delivery Point,  to make deliveries of gas hereunder at the Secondary Delivery Point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 cents ($0.__) per MMBtu.</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the event Seller elects to deliver gas to Buyer at the Secondary Delivery Point,  unless such option is exercised during, and as a result of a force majeure event (as defined by the Agreement) affecting Seller’s deliveries at the Primary Delivery Point, the Contract Price for  deliveries at the Secondary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 during and as a result of a force majeure event (as defined by the Agreement) affecting Seller’s deliveries at the Primary Delivery Point, the Contract Price for deliveries at the Secondary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Goat Rock, Alabama site by no later than April 1, 2001.   Seller’s obligations under this Confirmation Letter shall be subject to and conditioned upon the receipt by Southern LNG Inc. by no later than April 1, 2001, of any and all United States federal, state or local licenses, permits, authorizations, or other approvals necessary for it to reactivate the Elba Island LNG marine terminal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DRAFT</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2000-07-10T18:18:00Z</dcterms:created>
  <dc:creator>dbailey</dc:creator>
  <dc:description/>
  <dc:language>en-CA</dc:language>
  <cp:lastModifiedBy>dbailey</cp:lastModifiedBy>
  <cp:lastPrinted>2000-07-12T16:43:00Z</cp:lastPrinted>
  <dcterms:modified xsi:type="dcterms:W3CDTF">2000-07-12T19:14:00Z</dcterms:modified>
  <cp:revision>7</cp:revision>
  <dc:subject/>
  <dc:title>CONFIRMATION LETTER</dc:title>
</cp:coreProperties>
</file>