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1.wmf" ContentType="image/x-wm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720"/>
        <w:rPr>
          <w:rFonts w:ascii="Book Antiqua" w:hAnsi="Book Antiqua" w:cs="Book Antiqua"/>
          <w:b/>
          <w:sz w:val="40"/>
        </w:rPr>
      </w:pPr>
      <w:r>
        <w:rPr>
          <w:rFonts w:cs="Book Antiqua" w:ascii="Book Antiqua" w:hAnsi="Book Antiqua"/>
          <w:b/>
          <w:sz w:val="40"/>
        </w:rPr>
      </w:r>
    </w:p>
    <w:p>
      <w:pPr>
        <w:pStyle w:val="Normal"/>
        <w:ind w:start="-180" w:end="-720"/>
        <w:jc w:val="center"/>
        <w:rPr>
          <w:b/>
          <w:sz w:val="36"/>
        </w:rPr>
      </w:pPr>
      <w:r>
        <w:rPr>
          <w:b/>
          <w:sz w:val="36"/>
        </w:rPr>
        <w:t>Enron Corp.</w:t>
      </w:r>
    </w:p>
    <w:p>
      <w:pPr>
        <w:pStyle w:val="Heading9"/>
        <w:ind w:hanging="0" w:start="0"/>
        <w:rPr>
          <w:sz w:val="36"/>
        </w:rPr>
      </w:pPr>
      <w:r>
        <w:rPr>
          <w:sz w:val="36"/>
        </w:rPr>
        <w:t>Government Affairs – The Americas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/>
      </w:pPr>
      <w:r>
        <w:rPr>
          <w:b/>
        </w:rPr>
        <w:tab/>
      </w:r>
      <w:r>
        <w:rPr>
          <w:b/>
          <w:sz w:val="36"/>
        </w:rPr>
        <w:t>Enron North America Breakout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/>
      </w:pPr>
      <w:r>
        <w:rPr>
          <w:b/>
          <w:sz w:val="36"/>
        </w:rPr>
        <w:t>Meeting</w:t>
      </w:r>
      <w:r>
        <w:rPr>
          <w:rFonts w:cs="Book Antiqua" w:ascii="Book Antiqua" w:hAnsi="Book Antiqua"/>
          <w:b/>
          <w:sz w:val="36"/>
        </w:rPr>
        <w:t xml:space="preserve"> Agenda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rFonts w:ascii="Bookman Old Style" w:hAnsi="Bookman Old Style" w:cs="Bookman Old Style"/>
          <w:b/>
          <w:i/>
          <w:i/>
          <w:sz w:val="28"/>
        </w:rPr>
      </w:pPr>
      <w:r>
        <w:rPr>
          <w:rFonts w:cs="Bookman Old Style" w:ascii="Bookman Old Style" w:hAnsi="Bookman Old Style"/>
          <w:b/>
          <w:i/>
          <w:sz w:val="28"/>
        </w:rPr>
      </w:r>
    </w:p>
    <w:p>
      <w:pPr>
        <w:pStyle w:val="BlockText"/>
        <w:pBdr>
          <w:bottom w:val="single" w:sz="4" w:space="1" w:color="000000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sz w:val="24"/>
        </w:rPr>
        <w:t>Time</w:t>
        <w:tab/>
        <w:tab/>
        <w:tab/>
        <w:tab/>
        <w:tab/>
        <w:t>Topic</w:t>
        <w:tab/>
        <w:tab/>
        <w:tab/>
        <w:tab/>
        <w:tab/>
        <w:tab/>
        <w:t>Discussion Leader</w:t>
      </w:r>
    </w:p>
    <w:p>
      <w:pPr>
        <w:pStyle w:val="BlockText"/>
        <w:pBdr>
          <w:bottom w:val="nil"/>
        </w:pBdr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Wednesday, September 13, 2000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Ritz Carlton, Tysons Corner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Salon I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2:15 p.m. – 3:15 p.m.</w:t>
        <w:tab/>
        <w:tab/>
        <w:tab/>
        <w:t>Discussion of Enron’s Wholesale Market Vision</w:t>
      </w:r>
    </w:p>
    <w:p>
      <w:pPr>
        <w:pStyle w:val="BlockText"/>
        <w:numPr>
          <w:ilvl w:val="0"/>
          <w:numId w:val="2"/>
        </w:numPr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Core Policies</w:t>
      </w:r>
    </w:p>
    <w:p>
      <w:pPr>
        <w:pStyle w:val="BlockText"/>
        <w:numPr>
          <w:ilvl w:val="0"/>
          <w:numId w:val="2"/>
        </w:numPr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Details</w:t>
        <w:tab/>
        <w:tab/>
        <w:tab/>
        <w:tab/>
        <w:t>C. Nicolay, M. Hain, S. Novosel</w:t>
      </w:r>
    </w:p>
    <w:p>
      <w:pPr>
        <w:pStyle w:val="BlockText"/>
        <w:pBdr>
          <w:bottom w:val="nil"/>
        </w:pBdr>
        <w:ind w:start="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3:15 p.m. – 3:30 p.m.</w:t>
        <w:tab/>
        <w:tab/>
        <w:tab/>
        <w:t>Discussion of Project E-Trans</w:t>
      </w:r>
    </w:p>
    <w:p>
      <w:pPr>
        <w:pStyle w:val="BlockText"/>
        <w:numPr>
          <w:ilvl w:val="0"/>
          <w:numId w:val="2"/>
        </w:numPr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Status</w:t>
      </w:r>
    </w:p>
    <w:p>
      <w:pPr>
        <w:pStyle w:val="BlockText"/>
        <w:numPr>
          <w:ilvl w:val="0"/>
          <w:numId w:val="2"/>
        </w:numPr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Vendors</w:t>
        <w:tab/>
        <w:tab/>
        <w:tab/>
        <w:tab/>
        <w:t>Jeff Brown</w:t>
      </w:r>
    </w:p>
    <w:p>
      <w:pPr>
        <w:pStyle w:val="BlockText"/>
        <w:pBdr>
          <w:bottom w:val="nil"/>
        </w:pBdr>
        <w:ind w:start="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3:30 p.m. – 4:00 p.m.</w:t>
        <w:tab/>
        <w:tab/>
        <w:tab/>
        <w:t>Discussion of RTO Status by Region</w:t>
      </w:r>
    </w:p>
    <w:p>
      <w:pPr>
        <w:pStyle w:val="BlockText"/>
        <w:numPr>
          <w:ilvl w:val="0"/>
          <w:numId w:val="2"/>
        </w:numPr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Top 5 issues by Region preparing for FERC Pre Oct 15 Meetings</w:t>
      </w:r>
    </w:p>
    <w:p>
      <w:pPr>
        <w:pStyle w:val="BlockText"/>
        <w:pBdr>
          <w:bottom w:val="nil"/>
        </w:pBdr>
        <w:ind w:start="648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start="648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Donna Fulton, RTO Leads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sectPr>
      <w:footerReference w:type="default" r:id="rId2"/>
      <w:footerReference w:type="first" r:id="rId3"/>
      <w:type w:val="nextPage"/>
      <w:pgSz w:w="12240" w:h="15840"/>
      <w:pgMar w:left="1620" w:right="1530" w:gutter="0" w:header="0" w:top="270" w:footer="776" w:bottom="832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8:26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jc w:val="center"/>
      <w:rPr>
        <w:rFonts w:ascii="Tahoma" w:hAnsi="Tahoma" w:cs="Tahoma"/>
        <w:b/>
      </w:rPr>
    </w:pPr>
    <w:r>
      <w:rPr>
        <w:rFonts w:cs="Tahoma" w:ascii="Tahoma" w:hAnsi="Tahoma"/>
        <w:b/>
      </w:rPr>
      <w:t>Endless Possibilities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8:26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r>
      <w:rPr/>
      <w:t xml:space="preserve"> </w:t>
    </w:r>
    <w:r>
      <w:rPr>
        <w:rFonts w:cs="Tahoma" w:ascii="Tahoma" w:hAnsi="Tahoma"/>
        <w:b/>
      </w:rPr>
      <w:t>Endless Possibilities</w:t>
    </w:r>
  </w:p>
  <w:p>
    <w:pPr>
      <w:pStyle w:val="Footer"/>
      <w:rPr>
        <w:rFonts w:ascii="Tahoma" w:hAnsi="Tahoma" w:cs="Tahoma"/>
        <w:b/>
      </w:rPr>
    </w:pPr>
    <w:r>
      <w:rPr>
        <w:rFonts w:cs="Tahoma" w:ascii="Tahoma" w:hAnsi="Tahoma"/>
        <w:b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0" w:start="-1800" w:end="-720"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FF" w:shadow="1"/>
        <w:left w:val="single" w:sz="6" w:space="1" w:color="0000FF" w:shadow="1"/>
        <w:bottom w:val="single" w:sz="6" w:space="1" w:color="0000FF" w:shadow="1"/>
        <w:right w:val="single" w:sz="6" w:space="1" w:color="0000FF" w:shadow="1"/>
      </w:pBdr>
      <w:shd w:fill="F2F2F2" w:val="clear"/>
      <w:ind w:hanging="0" w:start="-720" w:end="-720"/>
      <w:jc w:val="center"/>
      <w:outlineLvl w:val="1"/>
    </w:pPr>
    <w:rPr>
      <w:rFonts w:ascii="Bookman Old Style" w:hAnsi="Bookman Old Style" w:cs="Bookman Old Style"/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-720"/>
      <w:jc w:val="center"/>
      <w:outlineLvl w:val="2"/>
    </w:pPr>
    <w:rPr>
      <w:rFonts w:ascii="Book Antiqua" w:hAnsi="Book Antiqua" w:cs="Book Antiqua"/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720" w:end="-720"/>
      <w:outlineLvl w:val="3"/>
    </w:pPr>
    <w:rPr>
      <w:rFonts w:ascii="Bookman Old Style" w:hAnsi="Bookman Old Style" w:cs="Bookman Old Style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-720"/>
      <w:outlineLvl w:val="4"/>
    </w:pPr>
    <w:rPr>
      <w:rFonts w:ascii="Bookman Old Style" w:hAnsi="Bookman Old Style" w:cs="Bookman Old Style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720"/>
      <w:outlineLvl w:val="5"/>
    </w:pPr>
    <w:rPr>
      <w:rFonts w:ascii="Bookman Old Style" w:hAnsi="Bookman Old Style" w:cs="Bookman Old Style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-720"/>
      <w:outlineLvl w:val="6"/>
    </w:pPr>
    <w:rPr>
      <w:rFonts w:ascii="Book Antiqua" w:hAnsi="Book Antiqua" w:cs="Book Antiqua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/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pBdr>
        <w:bottom w:val="single" w:sz="6" w:space="1" w:color="000000"/>
      </w:pBdr>
      <w:ind w:hanging="0" w:start="-720" w:end="-720"/>
    </w:pPr>
    <w:rPr>
      <w:rFonts w:ascii="Bookman Old Style" w:hAnsi="Bookman Old Style" w:cs="Bookman Old Style"/>
      <w:b/>
      <w:sz w:val="28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firstLine="1440" w:start="0" w:end="-720"/>
    </w:pPr>
    <w:rPr>
      <w:rFonts w:ascii="Book Antiqua" w:hAnsi="Book Antiqua" w:cs="Book Antiqua"/>
      <w:sz w:val="22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2000-09-08T17:34:00Z</dcterms:created>
  <dc:creator>EES</dc:creator>
  <dc:description/>
  <dc:language>en-CA</dc:language>
  <cp:lastModifiedBy>gdernehl</cp:lastModifiedBy>
  <cp:lastPrinted>2000-09-08T16:08:00Z</cp:lastPrinted>
  <dcterms:modified xsi:type="dcterms:W3CDTF">2000-09-08T18:38:00Z</dcterms:modified>
  <cp:revision>13</cp:revision>
  <dc:subject/>
  <dc:title>General Cable Corp</dc:title>
</cp:coreProperties>
</file>