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rPr>
      </w:pPr>
      <w:r>
        <w:rPr>
          <w:b/>
          <w:bCs/>
        </w:rPr>
        <w:t>[Enron Corporation]</w:t>
      </w:r>
      <w:r>
        <w:rPr>
          <w:rStyle w:val="FootnoteCharacters"/>
          <w:rStyle w:val="FootnoteReference"/>
          <w:b/>
          <w:bCs/>
        </w:rPr>
        <w:footnoteReference w:customMarkFollows="1" w:id="2"/>
        <w:t>*</w:t>
      </w:r>
    </w:p>
    <w:p>
      <w:pPr>
        <w:pStyle w:val="VEBodyText"/>
        <w:jc w:val="center"/>
        <w:rPr>
          <w:u w:val="single"/>
        </w:rPr>
      </w:pPr>
      <w:r>
        <w:rPr>
          <w:b/>
          <w:bCs/>
          <w:u w:val="single"/>
        </w:rPr>
        <w:t>Telecommunications Regulatory Compliance Manual</w:t>
      </w:r>
    </w:p>
    <w:p>
      <w:pPr>
        <w:pStyle w:val="VEBodyText"/>
        <w:rPr>
          <w:b/>
          <w:bCs/>
        </w:rPr>
      </w:pPr>
      <w:r>
        <w:rPr>
          <w:b/>
          <w:bCs/>
        </w:rPr>
        <w:t>I.</w:t>
        <w:tab/>
      </w:r>
      <w:r>
        <w:rPr>
          <w:b/>
          <w:bCs/>
          <w:u w:val="single"/>
        </w:rPr>
        <w:t>Introduction</w:t>
      </w:r>
    </w:p>
    <w:p>
      <w:pPr>
        <w:pStyle w:val="VEBodyText"/>
        <w:rPr/>
      </w:pPr>
      <w:r>
        <w:rPr/>
        <w:tab/>
        <w:t>This manual provides important information for all legal staff, managers, engineers, and other personnel with responsibility for the telecommunications-related facilities of Enron Corporation and its operating subsidiaries (collectively referred to herein as “Enron”).  Enron operates several radio telecommunications systems at its facilities in the United States so that there may be communications between locations at various Enron facilities.  These radio systems may not be operated without a valid license from the Federal Communications Commission (FCC), and the company holding that license must be in full compliance with the Communications Act of 1934 and with all applicable FCC regulations.  It is essential that Enron personnel with responsibility for telecommunications-related facilities understand these regulations and licensing procedures and ensure that Enron is in full compliance with them.</w:t>
      </w:r>
    </w:p>
    <w:p>
      <w:pPr>
        <w:pStyle w:val="VEBodyText"/>
        <w:rPr/>
      </w:pPr>
      <w:r>
        <w:rPr/>
        <w:tab/>
        <w:t>This manual covers the following topics:  designation of a Telecommunications Compliance Attorney who is responsible for FCC compliance; maintenance of and access to a database of all FCC licenses held by Enron companies; FCC regulations for the assignment and transfer of FCC licenses; and compliance training for all relevant Enron employees.</w:t>
      </w:r>
    </w:p>
    <w:p>
      <w:pPr>
        <w:pStyle w:val="VEBodyText"/>
        <w:rPr/>
      </w:pPr>
      <w:r>
        <w:rPr/>
        <w:tab/>
        <w:t>In addition to consulting this manual for guidance on regulatory matters, employees responsible for regulatory compliance should consult with the Telecommunications Compliance Attorney, who in turn should consult with outside telecommunications counsel when matters warrant.</w:t>
      </w:r>
    </w:p>
    <w:p>
      <w:pPr>
        <w:pStyle w:val="VEBodyText"/>
        <w:rPr>
          <w:b/>
          <w:bCs/>
        </w:rPr>
      </w:pPr>
      <w:r>
        <w:rPr>
          <w:b/>
          <w:bCs/>
        </w:rPr>
        <w:t>II.</w:t>
        <w:tab/>
      </w:r>
      <w:r>
        <w:rPr>
          <w:b/>
          <w:bCs/>
          <w:u w:val="single"/>
        </w:rPr>
        <w:t>Designation of Telecommunications Compliance Attorney</w:t>
      </w:r>
    </w:p>
    <w:p>
      <w:pPr>
        <w:pStyle w:val="VEBodyText"/>
        <w:rPr/>
      </w:pPr>
      <w:r>
        <w:rPr/>
        <w:tab/>
        <w:t>The following is contact information for Enron’s designated Telecommunications Compliance Attorney in the company’s legal department:</w:t>
      </w:r>
    </w:p>
    <w:p>
      <w:pPr>
        <w:pStyle w:val="VEBodyText"/>
        <w:rPr/>
      </w:pPr>
      <w:r>
        <w:rPr/>
        <w:tab/>
      </w:r>
      <w:r>
        <w:rPr>
          <w:b/>
          <w:bCs/>
        </w:rPr>
        <w:t>[List attorney name and contact details]</w:t>
      </w:r>
    </w:p>
    <w:p>
      <w:pPr>
        <w:pStyle w:val="VEBodyText"/>
        <w:rPr>
          <w:b/>
          <w:bCs/>
        </w:rPr>
      </w:pPr>
      <w:r>
        <w:rPr>
          <w:b/>
          <w:bCs/>
        </w:rPr>
      </w:r>
    </w:p>
    <w:p>
      <w:pPr>
        <w:pStyle w:val="VEBodyText"/>
        <w:rPr/>
      </w:pPr>
      <w:r>
        <w:rPr/>
      </w:r>
    </w:p>
    <w:p>
      <w:pPr>
        <w:pStyle w:val="VEBodyText"/>
        <w:rPr/>
      </w:pPr>
      <w:r>
        <w:rPr/>
        <w:t>All Enron employees involved with the company’s telecommunications systems or with regulatory compliance in general should call the Telecommunications Compliance Attorney if they have any questions regarding compliance or if they are not sure whether an FCC application might be necessary for a certain type of facility or transaction involving Enron facilities.</w:t>
      </w:r>
    </w:p>
    <w:p>
      <w:pPr>
        <w:pStyle w:val="VEBodyText"/>
        <w:rPr/>
      </w:pPr>
      <w:r>
        <w:rPr/>
      </w:r>
    </w:p>
    <w:p>
      <w:pPr>
        <w:pStyle w:val="VEBodyText"/>
        <w:rPr/>
      </w:pPr>
      <w:r>
        <w:rPr/>
      </w:r>
    </w:p>
    <w:p>
      <w:pPr>
        <w:pStyle w:val="BodyText2"/>
        <w:jc w:val="both"/>
        <w:rPr/>
      </w:pPr>
      <w:r>
        <w:rPr>
          <w:b/>
          <w:bCs/>
        </w:rPr>
        <w:t>III.</w:t>
        <w:tab/>
      </w:r>
      <w:r>
        <w:rPr>
          <w:b/>
          <w:bCs/>
          <w:u w:val="single"/>
        </w:rPr>
        <w:t>Compliance Training Program</w:t>
      </w:r>
    </w:p>
    <w:p>
      <w:pPr>
        <w:pStyle w:val="BodyText2"/>
        <w:jc w:val="both"/>
        <w:rPr/>
      </w:pPr>
      <w:r>
        <w:rPr/>
      </w:r>
    </w:p>
    <w:p>
      <w:pPr>
        <w:pStyle w:val="VEBodyText"/>
        <w:rPr/>
      </w:pPr>
      <w:r>
        <w:rPr/>
        <w:tab/>
        <w:t>The Telecommunications Compliance Attorney, with assistance as necessary from outside telecommunications counsel, will conduct an education program from time to time for company lawyers, business development personnel, managers and other parties responsible for the establishment, purchase, sale, and use of Enron’s telecommunications assets.  The education program will emphasize the need to make timely applications for FCC consent to changes in ownership or control of telecommunications licenses.  The education program will be supplemented by alerts and memos to managers and engineers about the company’s telecommunications policy and practice.  The alerts also will keep managers and engineers informed of FCC policy and regulatory compliance requirements.</w:t>
      </w:r>
    </w:p>
    <w:p>
      <w:pPr>
        <w:pStyle w:val="VEBodyText"/>
        <w:rPr>
          <w:b/>
          <w:bCs/>
        </w:rPr>
      </w:pPr>
      <w:r>
        <w:rPr>
          <w:b/>
          <w:bCs/>
        </w:rPr>
        <w:t>IV.</w:t>
        <w:tab/>
      </w:r>
      <w:r>
        <w:rPr>
          <w:b/>
          <w:bCs/>
          <w:u w:val="single"/>
        </w:rPr>
        <w:t>FCC License File and Database</w:t>
      </w:r>
    </w:p>
    <w:p>
      <w:pPr>
        <w:pStyle w:val="VEBodyText"/>
        <w:rPr/>
      </w:pPr>
      <w:r>
        <w:rPr/>
        <w:tab/>
        <w:t xml:space="preserve">The Telecommunications Compliance Attorney is responsible for maintaining a file containing paper copies of all FCC licenses held by Enron and related entities.  The Telecommunications Compliance Attorney is also responsible for maintaining an electronic database of these licenses.  This database should contain, at a minimum, the following information for each license: </w:t>
      </w:r>
    </w:p>
    <w:p>
      <w:pPr>
        <w:pStyle w:val="VEBodyText"/>
        <w:ind w:firstLine="720" w:end="0"/>
        <w:rPr/>
      </w:pPr>
      <w:r>
        <w:rPr/>
        <w:t xml:space="preserve">(1) the FCC-issued call sign; </w:t>
      </w:r>
    </w:p>
    <w:p>
      <w:pPr>
        <w:pStyle w:val="VEBodyText"/>
        <w:ind w:firstLine="720" w:end="0"/>
        <w:rPr/>
      </w:pPr>
      <w:r>
        <w:rPr/>
        <w:t>(2) the type of license and radio service;</w:t>
      </w:r>
    </w:p>
    <w:p>
      <w:pPr>
        <w:pStyle w:val="VEBodyText"/>
        <w:ind w:firstLine="720" w:end="0"/>
        <w:rPr/>
      </w:pPr>
      <w:r>
        <w:rPr/>
        <w:t>(3) licensee name;</w:t>
      </w:r>
    </w:p>
    <w:p>
      <w:pPr>
        <w:pStyle w:val="VEBodyText"/>
        <w:ind w:firstLine="720" w:end="0"/>
        <w:rPr/>
      </w:pPr>
      <w:r>
        <w:rPr/>
        <w:t>(4) associated Enron facility;</w:t>
      </w:r>
    </w:p>
    <w:p>
      <w:pPr>
        <w:pStyle w:val="VEBodyText"/>
        <w:ind w:firstLine="720" w:end="0"/>
        <w:rPr/>
      </w:pPr>
      <w:r>
        <w:rPr/>
        <w:t>(5) address of the Enron facility;</w:t>
      </w:r>
    </w:p>
    <w:p>
      <w:pPr>
        <w:pStyle w:val="VEBodyText"/>
        <w:ind w:firstLine="720" w:end="0"/>
        <w:rPr/>
      </w:pPr>
      <w:r>
        <w:rPr/>
        <w:t>(6) date of expiration for the license; and</w:t>
      </w:r>
    </w:p>
    <w:p>
      <w:pPr>
        <w:pStyle w:val="VEBodyText"/>
        <w:ind w:firstLine="720" w:end="0"/>
        <w:rPr/>
      </w:pPr>
      <w:r>
        <w:rPr/>
        <w:t>(7) the date the next license renewal application is due with the FCC.</w:t>
      </w:r>
    </w:p>
    <w:p>
      <w:pPr>
        <w:pStyle w:val="VEBodyText"/>
        <w:ind w:firstLine="720" w:end="0"/>
        <w:rPr/>
      </w:pPr>
      <w:r>
        <w:rPr/>
        <w:t>All employees who deal with regulatory compliance or telecommunications systems should have access to the database.  The Telecommunications Compliance Attorney must ensure that the database is updated whenever relevant information changes (e.g., a license has been renewed, new licenses have been acquired by Enron, or Enron has transferred a license as part of a transaction).</w:t>
      </w:r>
    </w:p>
    <w:p>
      <w:pPr>
        <w:pStyle w:val="VEBodyText"/>
        <w:rPr>
          <w:b/>
          <w:bCs/>
        </w:rPr>
      </w:pPr>
      <w:r>
        <w:rPr>
          <w:b/>
          <w:bCs/>
        </w:rPr>
        <w:t>V.</w:t>
        <w:tab/>
      </w:r>
      <w:r>
        <w:rPr>
          <w:b/>
          <w:bCs/>
          <w:u w:val="single"/>
        </w:rPr>
        <w:t>License Renewals</w:t>
      </w:r>
    </w:p>
    <w:p>
      <w:pPr>
        <w:pStyle w:val="VEBodyText"/>
        <w:rPr/>
      </w:pPr>
      <w:r>
        <w:rPr/>
        <w:tab/>
        <w:t>The database should contain a tickler system that alerts the Telecommunications Compliance Attorney and any other relevant employees whenever one of Enron’s licenses must be renewed.  The Telecommunications Compliance Attorney, working in conjunction with Enron’s legal department and outside counsel, must ensure that the necessary applications are filed with the FCC and that all licenses are renewed on time.</w:t>
      </w:r>
    </w:p>
    <w:p>
      <w:pPr>
        <w:pStyle w:val="VEBodyText"/>
        <w:rPr>
          <w:b/>
          <w:bCs/>
        </w:rPr>
      </w:pPr>
      <w:r>
        <w:rPr>
          <w:b/>
          <w:bCs/>
        </w:rPr>
        <w:t>VI.</w:t>
        <w:tab/>
      </w:r>
      <w:r>
        <w:rPr>
          <w:b/>
          <w:bCs/>
          <w:u w:val="single"/>
        </w:rPr>
        <w:t>License Assignments and Transfers of Control</w:t>
      </w:r>
    </w:p>
    <w:p>
      <w:pPr>
        <w:pStyle w:val="VEBodyText"/>
        <w:rPr/>
      </w:pPr>
      <w:r>
        <w:rPr/>
        <w:tab/>
      </w:r>
      <w:r>
        <w:rPr>
          <w:b/>
          <w:bCs/>
        </w:rPr>
        <w:t>A.</w:t>
        <w:tab/>
        <w:t>General Compliance Information</w:t>
      </w:r>
    </w:p>
    <w:p>
      <w:pPr>
        <w:pStyle w:val="VEBodyText"/>
        <w:rPr/>
      </w:pPr>
      <w:r>
        <w:rPr/>
        <w:tab/>
        <w:t xml:space="preserve">Section 310(d) of the Communications Act of 1934 requires any entity with an FCC license, like the ones Enron holds, not to assign or transfer control of that license to another company without prior approval from the FCC.  An </w:t>
      </w:r>
      <w:r>
        <w:rPr>
          <w:i/>
          <w:iCs/>
        </w:rPr>
        <w:t>assignment</w:t>
      </w:r>
      <w:r>
        <w:rPr/>
        <w:t xml:space="preserve"> of license takes place when a license is shifted from one company to another.  In the case of Enron, an application for assignment of license would typically need to be made with the FCC where another company is going to purchase assets at a Enron facility, or vice versa, and those assets include one or more FCC licenses.  A </w:t>
      </w:r>
      <w:r>
        <w:rPr>
          <w:i/>
          <w:iCs/>
        </w:rPr>
        <w:t>transfer of control</w:t>
      </w:r>
      <w:r>
        <w:rPr/>
        <w:t xml:space="preserve"> takes place where a new parent company assumes control over an entity with an FCC license.  In the case of Enron, an application for transfer of control of a license would typically need to be made with the FCC where another company is purchasing from Enron the stock of a subsidiary company, or Enron acquires the stock of another company’s subsidiary, and that subsidiary holds an FCC license.</w:t>
      </w:r>
    </w:p>
    <w:p>
      <w:pPr>
        <w:pStyle w:val="VEBodyText"/>
        <w:rPr/>
      </w:pPr>
      <w:r>
        <w:rPr/>
        <w:tab/>
        <w:t>Where a license is assigned to a company with different ownership than the current licensee, it is called a “substantial” assignment.  This generally involves an asset sale.</w:t>
      </w:r>
    </w:p>
    <w:p>
      <w:pPr>
        <w:pStyle w:val="VEBodyText"/>
        <w:ind w:firstLine="720" w:end="0"/>
        <w:rPr/>
      </w:pPr>
      <w:r>
        <w:rPr/>
        <w:t xml:space="preserve">When a license is assigned or transferred from one company to another with the same ownership (e.g., from one subsidiary of Enron to another), it is called a “pro forma” assignment.  Substantial and pro forma license assignments and transfers </w:t>
      </w:r>
      <w:r>
        <w:rPr>
          <w:i/>
          <w:iCs/>
        </w:rPr>
        <w:t>both</w:t>
      </w:r>
      <w:r>
        <w:rPr/>
        <w:t xml:space="preserve"> require prior approval from the FCC.</w:t>
      </w:r>
    </w:p>
    <w:p>
      <w:pPr>
        <w:pStyle w:val="VEBodyText"/>
        <w:rPr/>
      </w:pPr>
      <w:r>
        <w:rPr/>
        <w:tab/>
        <w:t>Generally, entities may not consummate a license assignment or transfer of control until their application has been granted by the FCC, except in very limited circumstances.  Enron employees involved in FCC licensing matters should check with the Telecommunications Compliance Attorney and outside counsel to see if a transaction may be consummated prior to FCC grant.</w:t>
      </w:r>
    </w:p>
    <w:p>
      <w:pPr>
        <w:pStyle w:val="VEBodyText"/>
        <w:rPr/>
      </w:pPr>
      <w:r>
        <w:rPr/>
        <w:tab/>
        <w:t>Because of the strict requirement of Section 310(d) of the Communications Act that licenses not be assigned or transferred without FCC approval, it is essential that whenever Enron is involved in any type of transaction, the relevant Enron employees check with the Telecommunications Compliance Attorney and with outside counsel to determine whether any FCC licenses may need to be assigned as part of the transaction.  If there are any such licenses, then the Telecommunications Compliance Attorney should coordinate with outside counsel to ensure that the appropriate applications are filed with, and approved by, the FCC prior to consummation of the transaction.</w:t>
      </w:r>
    </w:p>
    <w:p>
      <w:pPr>
        <w:pStyle w:val="VEBodyText"/>
        <w:rPr/>
      </w:pPr>
      <w:r>
        <w:rPr/>
        <w:tab/>
      </w:r>
      <w:r>
        <w:rPr>
          <w:b/>
          <w:bCs/>
        </w:rPr>
        <w:t>B.</w:t>
        <w:tab/>
        <w:t>Frequently Asked Questions Regarding FCC License Assignments</w:t>
      </w:r>
    </w:p>
    <w:p>
      <w:pPr>
        <w:pStyle w:val="VEBodyText"/>
        <w:ind w:firstLine="720" w:end="0"/>
        <w:rPr/>
      </w:pPr>
      <w:r>
        <w:rPr/>
        <w:t>The following questions and answers should assist Enron employees in determining whether an FCC assignment or transfer application is necessary and, if it is, what procedures to follow in obtaining FCC approval.  Any further questions should be addressed to the Telecommunications Compliance Attorney and to outside counsel.</w:t>
      </w:r>
    </w:p>
    <w:p>
      <w:pPr>
        <w:pStyle w:val="BodyText2"/>
        <w:ind w:hanging="720" w:start="2160" w:end="720"/>
        <w:jc w:val="both"/>
        <w:rPr>
          <w:b/>
        </w:rPr>
      </w:pPr>
      <w:r>
        <w:rPr>
          <w:b/>
        </w:rPr>
        <w:t>1.</w:t>
        <w:tab/>
        <w:t>We have just signed an asset purchase agreement with another company.  We have no idea whether they hold any FCC licenses.  How do we obtain this information?</w:t>
      </w:r>
    </w:p>
    <w:p>
      <w:pPr>
        <w:pStyle w:val="BodyText2"/>
        <w:ind w:firstLine="720" w:end="720"/>
        <w:jc w:val="both"/>
        <w:rPr>
          <w:b/>
        </w:rPr>
      </w:pPr>
      <w:r>
        <w:rPr>
          <w:b/>
        </w:rPr>
      </w:r>
    </w:p>
    <w:p>
      <w:pPr>
        <w:pStyle w:val="BodyText2"/>
        <w:ind w:firstLine="720" w:start="720" w:end="720"/>
        <w:jc w:val="both"/>
        <w:rPr/>
      </w:pPr>
      <w:r>
        <w:rPr/>
        <w:t>First, ask the other party whether it holds any FCC licenses.  Ask about particular operations.  For example, is the other party a manufacturer?  Does it own vehicles?  Does it use dispatch radios in its vehicles?  Does it employ security guards who carry radios?  Does it use radios as part of its plant operations?  If so, these radios could be licensed by the FCC under its Private Land Mobile Service rules.</w:t>
      </w:r>
    </w:p>
    <w:p>
      <w:pPr>
        <w:pStyle w:val="BodyText2"/>
        <w:ind w:firstLine="720" w:start="720" w:end="720"/>
        <w:jc w:val="both"/>
        <w:rPr/>
      </w:pPr>
      <w:r>
        <w:rPr/>
      </w:r>
    </w:p>
    <w:p>
      <w:pPr>
        <w:pStyle w:val="BodyText2"/>
        <w:ind w:firstLine="720" w:start="720" w:end="720"/>
        <w:jc w:val="both"/>
        <w:rPr/>
      </w:pPr>
      <w:r>
        <w:rPr/>
        <w:t xml:space="preserve">Is the other entity a railroad?  If so, does it use radio communications to operate switches and signals or communicate with crews? </w:t>
      </w:r>
    </w:p>
    <w:p>
      <w:pPr>
        <w:pStyle w:val="BodyText2"/>
        <w:ind w:firstLine="720" w:start="720" w:end="720"/>
        <w:jc w:val="both"/>
        <w:rPr/>
      </w:pPr>
      <w:r>
        <w:rPr/>
      </w:r>
    </w:p>
    <w:p>
      <w:pPr>
        <w:pStyle w:val="BodyText2"/>
        <w:ind w:firstLine="720" w:start="720" w:end="720"/>
        <w:jc w:val="both"/>
        <w:rPr/>
      </w:pPr>
      <w:r>
        <w:rPr/>
        <w:t>Is the other party a public utility?  Does it use radio communications to communicate with crews in the field or control and monitor operations along its pipeline or electric transmission network?  If so, these radio facilities could be licensed by the FCC under its Private Operational Fixed (microwave) Service rules.</w:t>
      </w:r>
    </w:p>
    <w:p>
      <w:pPr>
        <w:pStyle w:val="BodyText2"/>
        <w:ind w:firstLine="720" w:start="720" w:end="720"/>
        <w:jc w:val="both"/>
        <w:rPr/>
      </w:pPr>
      <w:r>
        <w:rPr/>
      </w:r>
    </w:p>
    <w:p>
      <w:pPr>
        <w:pStyle w:val="BodyText2"/>
        <w:ind w:firstLine="720" w:start="720" w:end="720"/>
        <w:jc w:val="both"/>
        <w:rPr/>
      </w:pPr>
      <w:r>
        <w:rPr/>
        <w:t>Does the other party own any ships or aircraft that make international communications or travel to international ports?  If so, these ships could be equipped with FCC radios licensed under the Commission’s Marine (ships) or Aviation (aircraft) Service rules.</w:t>
      </w:r>
    </w:p>
    <w:p>
      <w:pPr>
        <w:pStyle w:val="BodyText2"/>
        <w:ind w:firstLine="720" w:start="720" w:end="720"/>
        <w:jc w:val="both"/>
        <w:rPr/>
      </w:pPr>
      <w:r>
        <w:rPr/>
      </w:r>
    </w:p>
    <w:p>
      <w:pPr>
        <w:pStyle w:val="BodyText2"/>
        <w:ind w:firstLine="720" w:start="720" w:end="720"/>
        <w:jc w:val="both"/>
        <w:rPr/>
      </w:pPr>
      <w:r>
        <w:rPr/>
        <w:t xml:space="preserve">Another way to find out is to check the FCC’s databases.  The Wireless Telecommunications Bureau’s Universal Licensing System (ULS), which contains  licensing information for the Bureau’s radio services, is available at </w:t>
      </w:r>
      <w:hyperlink r:id="rId2">
        <w:r>
          <w:rPr>
            <w:rStyle w:val="Hyperlink"/>
          </w:rPr>
          <w:t>www.fcc.gov/wtb/uls</w:t>
        </w:r>
      </w:hyperlink>
      <w:r>
        <w:rPr/>
        <w:t>.  Please note that certain services have not yet been incorporated into ULS.  For such services, during this interim period, you must search the “legacy” databases for these services by clicking on the “databases” heading on the Bureau’s homepage (</w:t>
      </w:r>
      <w:hyperlink r:id="rId3">
        <w:r>
          <w:rPr>
            <w:rStyle w:val="Hyperlink"/>
          </w:rPr>
          <w:t>www.fcc.gov/wtb</w:t>
        </w:r>
      </w:hyperlink>
      <w:r>
        <w:rPr/>
        <w:t xml:space="preserve">) and selecting “Search the Wireless Databases Online.”  The ULS homepage provides an up-to-date list of which radio services are currently licensed in ULS. </w:t>
      </w:r>
    </w:p>
    <w:p>
      <w:pPr>
        <w:pStyle w:val="BodyText2"/>
        <w:ind w:firstLine="720" w:start="720" w:end="720"/>
        <w:jc w:val="both"/>
        <w:rPr/>
      </w:pPr>
      <w:r>
        <w:rPr/>
      </w:r>
    </w:p>
    <w:p>
      <w:pPr>
        <w:pStyle w:val="BodyText2"/>
        <w:ind w:firstLine="720" w:start="720" w:end="720"/>
        <w:jc w:val="both"/>
        <w:rPr/>
      </w:pPr>
      <w:r>
        <w:rPr/>
        <w:t>Some private wireless licensees may hold other types of FCC-issued licenses for which prior FCC approval will be required.  For example, if the company is a government contractor, such as a defense equipment manufacturer, it may hold licenses for non-common carrier satellite earth stations which are issued by the FCC’s International Bureau or experimental licenses which are issued by the FCC’s Office of Engineering &amp; Technology.  The FCC must approve assignments and transfers of control of these licenses before consummation as well.</w:t>
      </w:r>
    </w:p>
    <w:p>
      <w:pPr>
        <w:pStyle w:val="BodyText2"/>
        <w:ind w:firstLine="720" w:end="720"/>
        <w:jc w:val="both"/>
        <w:rPr/>
      </w:pPr>
      <w:r>
        <w:rPr/>
      </w:r>
    </w:p>
    <w:p>
      <w:pPr>
        <w:pStyle w:val="BodyText2"/>
        <w:ind w:hanging="720" w:start="2160" w:end="720"/>
        <w:jc w:val="both"/>
        <w:rPr>
          <w:b/>
        </w:rPr>
      </w:pPr>
      <w:r>
        <w:rPr>
          <w:b/>
        </w:rPr>
        <w:t>2.</w:t>
        <w:tab/>
        <w:t>What if we find that the other company does hold FCC licenses that are subject to the transaction?  What questions should we ask about the status of those licenses?</w:t>
      </w:r>
    </w:p>
    <w:p>
      <w:pPr>
        <w:pStyle w:val="BodyText2"/>
        <w:ind w:firstLine="720" w:end="720"/>
        <w:jc w:val="both"/>
        <w:rPr>
          <w:b/>
        </w:rPr>
      </w:pPr>
      <w:r>
        <w:rPr>
          <w:b/>
        </w:rPr>
      </w:r>
    </w:p>
    <w:p>
      <w:pPr>
        <w:pStyle w:val="BodyText2"/>
        <w:ind w:firstLine="720" w:start="720" w:end="720"/>
        <w:jc w:val="both"/>
        <w:rPr/>
      </w:pPr>
      <w:r>
        <w:rPr/>
        <w:t xml:space="preserve">You should make sure that the FCC licenses in question are assignable or transferable.  For example, for some services, the FCC requires that the radio facility be constructed and operational in order to be assigned.  </w:t>
      </w:r>
      <w:r>
        <w:rPr>
          <w:i/>
        </w:rPr>
        <w:t>See, e.g.</w:t>
      </w:r>
      <w:r>
        <w:rPr/>
        <w:t>, Section 101.55 of the Commission’s Rules, 47 C.F.R. § 101.55 (prohibiting voluntary substantial assignments or transfers of control of unauctioned microwave licenses prior to completion of construction).  Accordingly, you should ask the licensee about the status of construction and operation of its FCC-licensed facilities.</w:t>
      </w:r>
    </w:p>
    <w:p>
      <w:pPr>
        <w:pStyle w:val="BodyText2"/>
        <w:ind w:firstLine="720" w:end="720"/>
        <w:jc w:val="both"/>
        <w:rPr/>
      </w:pPr>
      <w:r>
        <w:rPr/>
      </w:r>
    </w:p>
    <w:p>
      <w:pPr>
        <w:pStyle w:val="BodyText2"/>
        <w:ind w:firstLine="720" w:start="720" w:end="720"/>
        <w:jc w:val="both"/>
        <w:rPr/>
      </w:pPr>
      <w:r>
        <w:rPr/>
        <w:t xml:space="preserve">The FCC will not assign or transfer a license that has been previously cancelled or allowed to expire by the licensee.  Accordingly, you should verify that all of the licensee’s FCC-issued facilities that are subject to the transaction are, in fact, licensed.  In this regard, please note that the fact that a licensee has a cancelled check covering renewal application filing fees </w:t>
      </w:r>
      <w:r>
        <w:rPr>
          <w:bCs/>
          <w:i/>
        </w:rPr>
        <w:t>does not mean</w:t>
      </w:r>
      <w:r>
        <w:rPr/>
        <w:t xml:space="preserve"> that the FCC has actually renewed the license.  Check the FCC’s database and ask the licensee for a copy of the current license for verification of the current status of the license.</w:t>
      </w:r>
    </w:p>
    <w:p>
      <w:pPr>
        <w:pStyle w:val="BodyText2"/>
        <w:ind w:firstLine="720" w:end="720"/>
        <w:jc w:val="both"/>
        <w:rPr/>
      </w:pPr>
      <w:r>
        <w:rPr/>
      </w:r>
    </w:p>
    <w:p>
      <w:pPr>
        <w:pStyle w:val="BodyText2"/>
        <w:ind w:firstLine="720" w:start="720" w:end="720"/>
        <w:jc w:val="both"/>
        <w:rPr/>
      </w:pPr>
      <w:r>
        <w:rPr/>
        <w:t xml:space="preserve">Some private wireless licenses are not assignable or transferable.  For example, ship and aircraft radio licenses cannot be assigned or transferred.  </w:t>
      </w:r>
      <w:r>
        <w:rPr>
          <w:i/>
          <w:iCs/>
        </w:rPr>
        <w:t>See</w:t>
      </w:r>
      <w:r>
        <w:rPr/>
        <w:t xml:space="preserve"> Section 1.948 of the Commission’s Rules, 47 C.F.R. § 1.948.  In this case, the acquiring entity must obtain a new license.</w:t>
      </w:r>
    </w:p>
    <w:p>
      <w:pPr>
        <w:pStyle w:val="BodyText2"/>
        <w:ind w:firstLine="720" w:end="720"/>
        <w:jc w:val="both"/>
        <w:rPr/>
      </w:pPr>
      <w:r>
        <w:rPr/>
      </w:r>
    </w:p>
    <w:p>
      <w:pPr>
        <w:pStyle w:val="BodyText2"/>
        <w:ind w:hanging="720" w:start="2160" w:end="720"/>
        <w:jc w:val="both"/>
        <w:rPr>
          <w:b/>
        </w:rPr>
      </w:pPr>
      <w:r>
        <w:rPr>
          <w:b/>
        </w:rPr>
        <w:t>3.</w:t>
        <w:tab/>
        <w:t>What forms must we file to request FCC approval of an assignment or transfer of control?</w:t>
      </w:r>
    </w:p>
    <w:p>
      <w:pPr>
        <w:pStyle w:val="BodyText2"/>
        <w:ind w:firstLine="720" w:end="720"/>
        <w:jc w:val="both"/>
        <w:rPr>
          <w:b/>
        </w:rPr>
      </w:pPr>
      <w:r>
        <w:rPr>
          <w:b/>
        </w:rPr>
      </w:r>
    </w:p>
    <w:p>
      <w:pPr>
        <w:pStyle w:val="BodyText2"/>
        <w:ind w:firstLine="720" w:start="720" w:end="720"/>
        <w:jc w:val="both"/>
        <w:rPr/>
      </w:pPr>
      <w:r>
        <w:rPr/>
        <w:t>In general, requests for FCC approval of assignments and transfers of control of private wireless licenses must be filed on FCC Form 603.  Most of these applications may be filed electronically via ULS.</w:t>
      </w:r>
    </w:p>
    <w:p>
      <w:pPr>
        <w:pStyle w:val="BodyText2"/>
        <w:ind w:firstLine="720" w:end="720"/>
        <w:jc w:val="both"/>
        <w:rPr/>
      </w:pPr>
      <w:r>
        <w:rPr/>
      </w:r>
    </w:p>
    <w:p>
      <w:pPr>
        <w:pStyle w:val="BodyText2"/>
        <w:ind w:hanging="720" w:start="2160" w:end="720"/>
        <w:jc w:val="both"/>
        <w:rPr>
          <w:b/>
        </w:rPr>
      </w:pPr>
      <w:r>
        <w:rPr>
          <w:b/>
        </w:rPr>
        <w:t>4.</w:t>
        <w:tab/>
        <w:t>The FCC recently issued a Public Notice announcing grant of our assignment applications.  Are there any other requirements with which we must comply before the FCC will view the transaction as complete?</w:t>
      </w:r>
    </w:p>
    <w:p>
      <w:pPr>
        <w:pStyle w:val="BodyText2"/>
        <w:ind w:firstLine="720" w:end="720"/>
        <w:jc w:val="both"/>
        <w:rPr>
          <w:b/>
        </w:rPr>
      </w:pPr>
      <w:r>
        <w:rPr>
          <w:b/>
        </w:rPr>
      </w:r>
    </w:p>
    <w:p>
      <w:pPr>
        <w:pStyle w:val="Normal"/>
        <w:ind w:firstLine="720" w:start="720" w:end="720"/>
        <w:jc w:val="both"/>
        <w:rPr/>
      </w:pPr>
      <w:r>
        <w:rPr/>
        <w:t>In general, under Section 1.948 of the Commission’s Rules, 47 C.F.R. § 1.948, you must notify the Commission in writing of consummation of the transfer or assignment.  Such notice must be provided to the Commission within 180 days of public notice of the Commission’s grant of the assignment or transfer application, unless a request for an extension of time to consummate the transaction is filed prior to the expiration of the 180-day period.  Notifications of consummation and requests for extension of time to consummate transactions must be filed on FCC Form 603.  You may not submit notifications or requests for extension of time by letter only.  This requirement applies to all assignments and transfers of licenses for private wireless services that have been converted to the ULS (</w:t>
      </w:r>
      <w:r>
        <w:rPr>
          <w:iCs/>
        </w:rPr>
        <w:t>i.e.,</w:t>
      </w:r>
      <w:r>
        <w:rPr/>
        <w:t xml:space="preserve"> Private Operational Fixed Services).  </w:t>
      </w:r>
    </w:p>
    <w:p>
      <w:pPr>
        <w:pStyle w:val="BodyText2"/>
        <w:ind w:firstLine="720" w:end="720"/>
        <w:jc w:val="both"/>
        <w:rPr/>
      </w:pPr>
      <w:r>
        <w:rPr/>
      </w:r>
    </w:p>
    <w:p>
      <w:pPr>
        <w:pStyle w:val="BodyText2"/>
        <w:ind w:hanging="720" w:start="2160" w:end="720"/>
        <w:jc w:val="both"/>
        <w:rPr>
          <w:b/>
        </w:rPr>
      </w:pPr>
      <w:r>
        <w:rPr>
          <w:b/>
        </w:rPr>
        <w:t>5.</w:t>
        <w:tab/>
        <w:t>What happens if we assign or transfer control of FCC licenses without approval from the FCC?</w:t>
      </w:r>
    </w:p>
    <w:p>
      <w:pPr>
        <w:pStyle w:val="BodyText2"/>
        <w:ind w:firstLine="720" w:end="720"/>
        <w:jc w:val="both"/>
        <w:rPr>
          <w:b/>
        </w:rPr>
      </w:pPr>
      <w:r>
        <w:rPr>
          <w:b/>
        </w:rPr>
      </w:r>
    </w:p>
    <w:p>
      <w:pPr>
        <w:pStyle w:val="BodyText2"/>
        <w:ind w:firstLine="720" w:start="720" w:end="720"/>
        <w:jc w:val="both"/>
        <w:rPr/>
      </w:pPr>
      <w:r>
        <w:rPr/>
        <w:t xml:space="preserve">Failure to seek FCC approval prior to an assignment or transfer of control is a violation of the Communications Act and the FCC’s rules and, thus, subjects the parties to possible enforcement action, including monetary fines (known at the FCC as “forfeitures”).  Under Section 1.80 of the Commission’s Rules, 47 C.F.R. § 1.80, unauthorized substantial transfers of control carry a base forfeiture amount of $8,000 per violation, while unauthorized </w:t>
      </w:r>
      <w:r>
        <w:rPr>
          <w:i/>
        </w:rPr>
        <w:t>pro forma</w:t>
      </w:r>
      <w:r>
        <w:rPr/>
        <w:t xml:space="preserve"> transfers of control carry a base forfeiture amount of $1,000 per violation.  These amounts can be adjusted upward or downward based on the applicability of certain criteria.</w:t>
      </w:r>
    </w:p>
    <w:p>
      <w:pPr>
        <w:pStyle w:val="BodyText2"/>
        <w:ind w:firstLine="720" w:end="720"/>
        <w:jc w:val="both"/>
        <w:rPr/>
      </w:pPr>
      <w:r>
        <w:rPr/>
      </w:r>
    </w:p>
    <w:p>
      <w:pPr>
        <w:pStyle w:val="BodyText2"/>
        <w:ind w:firstLine="720" w:start="720" w:end="720"/>
        <w:jc w:val="both"/>
        <w:rPr/>
      </w:pPr>
      <w:r>
        <w:rPr/>
        <w:t xml:space="preserve">The Commission strongly encourages parties that may have violated these provisions to disclose voluntarily their transgressions to the Commission as early as possible.  Such voluntary disclosure is a factor that may be considered in determining appropriate enforcement action, if any.  </w:t>
      </w:r>
      <w:r>
        <w:rPr>
          <w:i/>
        </w:rPr>
        <w:t>See</w:t>
      </w:r>
      <w:r>
        <w:rPr/>
        <w:t xml:space="preserve"> Section 1.80 of the Commission’s rules, 47 C.F.R. § 1.80.  In addition, the Commission invites parties to discuss with the agency’s Enforcement Bureau the possibility of negotiated settlement of enforcement actions through consent decrees.</w:t>
      </w:r>
    </w:p>
    <w:p>
      <w:pPr>
        <w:pStyle w:val="BodyText2"/>
        <w:ind w:firstLine="720" w:end="720"/>
        <w:jc w:val="both"/>
        <w:rPr/>
      </w:pPr>
      <w:r>
        <w:rPr/>
      </w:r>
    </w:p>
    <w:p>
      <w:pPr>
        <w:pStyle w:val="BodyText2"/>
        <w:ind w:firstLine="720" w:end="720"/>
        <w:jc w:val="both"/>
        <w:rPr/>
      </w:pPr>
      <w:r>
        <w:rPr/>
      </w:r>
    </w:p>
    <w:p>
      <w:pPr>
        <w:pStyle w:val="BodyText2"/>
        <w:ind w:end="720"/>
        <w:jc w:val="both"/>
        <w:rPr/>
      </w:pPr>
      <w:r>
        <w:rPr/>
      </w:r>
    </w:p>
    <w:p>
      <w:pPr>
        <w:pStyle w:val="BodyText2"/>
        <w:ind w:end="720"/>
        <w:jc w:val="both"/>
        <w:rPr/>
      </w:pPr>
      <w:r>
        <w:rPr/>
      </w:r>
    </w:p>
    <w:p>
      <w:pPr>
        <w:pStyle w:val="BodyText2"/>
        <w:ind w:end="720"/>
        <w:jc w:val="both"/>
        <w:rPr/>
      </w:pPr>
      <w:r>
        <w:rPr/>
      </w:r>
    </w:p>
    <w:p>
      <w:pPr>
        <w:pStyle w:val="BodyText2"/>
        <w:ind w:end="720"/>
        <w:jc w:val="both"/>
        <w:rPr/>
      </w:pPr>
      <w:r>
        <w:rPr/>
      </w:r>
    </w:p>
    <w:p>
      <w:pPr>
        <w:pStyle w:val="BodyText2"/>
        <w:ind w:end="720"/>
        <w:jc w:val="both"/>
        <w:rPr/>
      </w:pPr>
      <w:r>
        <w:rPr/>
      </w:r>
    </w:p>
    <w:p>
      <w:pPr>
        <w:pStyle w:val="BodyText2"/>
        <w:ind w:end="720"/>
        <w:jc w:val="both"/>
        <w:rPr/>
      </w:pPr>
      <w:r>
        <w:rPr/>
      </w:r>
    </w:p>
    <w:p>
      <w:pPr>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BodyText2"/>
        <w:ind w:end="720"/>
        <w:jc w:val="both"/>
        <w:rPr/>
      </w:pPr>
      <w:r>
        <w:rPr/>
      </w:r>
    </w:p>
    <w:p>
      <w:pPr>
        <w:pStyle w:val="BodyText2"/>
        <w:ind w:end="720"/>
        <w:jc w:val="center"/>
        <w:rPr>
          <w:b/>
          <w:bCs/>
        </w:rPr>
      </w:pPr>
      <w:r>
        <w:rPr>
          <w:b/>
          <w:bCs/>
        </w:rPr>
        <w:t>Summary of Telecommunications Compliance Program</w:t>
      </w:r>
    </w:p>
    <w:p>
      <w:pPr>
        <w:pStyle w:val="BodyText2"/>
        <w:ind w:end="720"/>
        <w:jc w:val="center"/>
        <w:rPr>
          <w:b/>
          <w:bCs/>
        </w:rPr>
      </w:pPr>
      <w:r>
        <w:rPr>
          <w:b/>
          <w:bCs/>
        </w:rPr>
        <w:t>of</w:t>
      </w:r>
    </w:p>
    <w:p>
      <w:pPr>
        <w:pStyle w:val="BodyText2"/>
        <w:ind w:end="720"/>
        <w:jc w:val="center"/>
        <w:rPr/>
      </w:pPr>
      <w:r>
        <w:rPr>
          <w:b/>
          <w:bCs/>
        </w:rPr>
        <w:t>[Enron Corporation]</w:t>
      </w:r>
      <w:r>
        <w:rPr>
          <w:rStyle w:val="FootnoteCharacters"/>
          <w:rStyle w:val="FootnoteReference"/>
          <w:b/>
          <w:bCs/>
        </w:rPr>
        <w:footnoteReference w:customMarkFollows="1" w:id="3"/>
        <w:t>*</w:t>
      </w:r>
    </w:p>
    <w:p>
      <w:pPr>
        <w:pStyle w:val="BodyText2"/>
        <w:ind w:end="720"/>
        <w:jc w:val="both"/>
        <w:rPr/>
      </w:pPr>
      <w:r>
        <w:rPr/>
      </w:r>
    </w:p>
    <w:p>
      <w:pPr>
        <w:pStyle w:val="BodyText2"/>
        <w:ind w:end="720"/>
        <w:jc w:val="both"/>
        <w:rPr/>
      </w:pPr>
      <w:r>
        <w:rPr/>
      </w:r>
    </w:p>
    <w:p>
      <w:pPr>
        <w:pStyle w:val="BodyText2"/>
        <w:ind w:firstLine="720" w:end="0"/>
        <w:jc w:val="both"/>
        <w:rPr/>
      </w:pPr>
      <w:r>
        <w:rPr/>
        <w:t>Enron Corporation (“Enron”) will establish a Telecommunications Regulatory Compliance Program to ensure compliance with relevant provisions of the Communications Act of 1934 and Federal Communications Commission regulations.  The program will be conducted by the legal department and outside telecommunications counsel and will be described in a compliance manual addressing the following areas: (1) designation of a Telecommunications Compliance Attorney; (2) establishment of a compliance training program; (3) creation of an electronic FCC license database; (4) FCC license renewals; and (5) FCC license assignments and transfers of control.</w:t>
      </w:r>
    </w:p>
    <w:p>
      <w:pPr>
        <w:pStyle w:val="BodyText2"/>
        <w:ind w:firstLine="720" w:end="0"/>
        <w:jc w:val="both"/>
        <w:rPr/>
      </w:pPr>
      <w:r>
        <w:rPr/>
      </w:r>
    </w:p>
    <w:p>
      <w:pPr>
        <w:pStyle w:val="BodyText2"/>
        <w:ind w:firstLine="720" w:end="0"/>
        <w:jc w:val="both"/>
        <w:rPr/>
      </w:pPr>
      <w:r>
        <w:rPr>
          <w:u w:val="single"/>
        </w:rPr>
        <w:t>Designation of Telecommunications Compliance Attorney.</w:t>
      </w:r>
      <w:r>
        <w:rPr/>
        <w:t xml:space="preserve">  Enron will designate a member of its legal department to serve as the Telecommunications Compliance Attorney (“TCA”).  The TCA will have responsibility for overseeing the company’s Telecommunications Compliance Program, and Enron personnel with questions regarding FCC compliance will be directed to the TCA for assistance.</w:t>
      </w:r>
    </w:p>
    <w:p>
      <w:pPr>
        <w:pStyle w:val="BodyText2"/>
        <w:ind w:end="720"/>
        <w:jc w:val="both"/>
        <w:rPr/>
      </w:pPr>
      <w:r>
        <w:rPr/>
      </w:r>
    </w:p>
    <w:p>
      <w:pPr>
        <w:pStyle w:val="BodyText2"/>
        <w:jc w:val="both"/>
        <w:rPr/>
      </w:pPr>
      <w:r>
        <w:rPr/>
        <w:tab/>
      </w:r>
      <w:r>
        <w:rPr>
          <w:u w:val="single"/>
        </w:rPr>
        <w:t>Compliance Training Program.</w:t>
      </w:r>
      <w:r>
        <w:rPr/>
        <w:t xml:space="preserve">  The TCA, with assistance from outside telecommunications counsel, will conduct an education program for company lawyers, business development personnel, managers, and other parties responsible for the establishment, purchase, sale, and use of Enron’s telecommunications assets.</w:t>
      </w:r>
    </w:p>
    <w:p>
      <w:pPr>
        <w:pStyle w:val="BodyText2"/>
        <w:jc w:val="both"/>
        <w:rPr/>
      </w:pPr>
      <w:r>
        <w:rPr/>
      </w:r>
    </w:p>
    <w:p>
      <w:pPr>
        <w:pStyle w:val="BodyText2"/>
        <w:jc w:val="both"/>
        <w:rPr/>
      </w:pPr>
      <w:r>
        <w:rPr/>
        <w:tab/>
      </w:r>
      <w:r>
        <w:rPr>
          <w:u w:val="single"/>
        </w:rPr>
        <w:t>Database.</w:t>
      </w:r>
      <w:r>
        <w:rPr/>
        <w:t xml:space="preserve">  The TCA and the legal department will assemble and maintain information about the company’s telecommunications licenses.  The database will be accessible by all employees who deal with regulatory compliance or telecommunications systems.  The TCA will ensure that the database is updated regularly.</w:t>
      </w:r>
    </w:p>
    <w:p>
      <w:pPr>
        <w:pStyle w:val="BodyText2"/>
        <w:jc w:val="both"/>
        <w:rPr/>
      </w:pPr>
      <w:r>
        <w:rPr/>
      </w:r>
    </w:p>
    <w:p>
      <w:pPr>
        <w:pStyle w:val="BodyText2"/>
        <w:jc w:val="both"/>
        <w:rPr/>
      </w:pPr>
      <w:r>
        <w:rPr/>
        <w:tab/>
      </w:r>
      <w:r>
        <w:rPr>
          <w:u w:val="single"/>
        </w:rPr>
        <w:t>License Renewals.</w:t>
      </w:r>
      <w:r>
        <w:rPr/>
        <w:t xml:space="preserve">  The database will contain a tickler system that will alert the TCA and other relevant employees whenever one of Enron’s licenses must be renewed.  the TCA will then have responsibility for ensuring that the proper renewal application is filed and FCC approvals are obtained.</w:t>
      </w:r>
    </w:p>
    <w:p>
      <w:pPr>
        <w:pStyle w:val="BodyText2"/>
        <w:jc w:val="both"/>
        <w:rPr/>
      </w:pPr>
      <w:r>
        <w:rPr/>
      </w:r>
    </w:p>
    <w:p>
      <w:pPr>
        <w:pStyle w:val="BodyText2"/>
        <w:jc w:val="both"/>
        <w:rPr/>
      </w:pPr>
      <w:r>
        <w:rPr/>
        <w:tab/>
      </w:r>
      <w:r>
        <w:rPr>
          <w:u w:val="single"/>
        </w:rPr>
        <w:t>License Assignments and Transfers.</w:t>
      </w:r>
      <w:r>
        <w:rPr/>
        <w:t xml:space="preserve">  The compliance manual will contain detailed information for Enron personnel regarding the need to obtain prior FCC approval for all assignments and transfers of control of FCC licenses.</w:t>
      </w:r>
    </w:p>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The entity that will issue this compliance manual is still the subject of discussions with the FCC’s staff.</w:t>
      </w:r>
    </w:p>
  </w:footnote>
  <w:footnote w:id="3">
    <w:p>
      <w:pPr>
        <w:pStyle w:val="FootnoteText"/>
        <w:rPr/>
      </w:pPr>
      <w:r>
        <w:rPr>
          <w:rStyle w:val="FootnoteCharacters"/>
        </w:rPr>
        <w:t>*</w:t>
      </w:r>
      <w:r>
        <w:rPr/>
        <w:t xml:space="preserve"> </w:t>
      </w:r>
      <w:r>
        <w:rPr/>
        <w:t>The entity that will issue this compliance manual is still the subject of discussions with the FCC’s staff.</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BodyText2">
    <w:name w:val="Body Text 2"/>
    <w:basedOn w:val="Normal"/>
    <w:qFormat/>
    <w:pPr>
      <w:suppressAutoHyphens w:val="true"/>
    </w:pPr>
    <w:rPr>
      <w:szCs w:val="20"/>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cc.gov/wtb/uls" TargetMode="External"/><Relationship Id="rId3" Type="http://schemas.openxmlformats.org/officeDocument/2006/relationships/hyperlink" Target="http://www.fcc.gov/wtb"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2001-02-01T16:46:00Z</dcterms:created>
  <dc:creator>Vinson &amp; Elkins L.L.P.</dc:creator>
  <dc:description/>
  <dc:language>en-CA</dc:language>
  <cp:lastModifiedBy>Vinson &amp; Elkins L.L.P.</cp:lastModifiedBy>
  <cp:lastPrinted>2001-02-01T10:55:00Z</cp:lastPrinted>
  <dcterms:modified xsi:type="dcterms:W3CDTF">2001-02-01T16:46:00Z</dcterms:modified>
  <cp:revision>2</cp:revision>
  <dc:subject/>
  <dc:title>Pacific Gas &amp; Electric</dc:title>
</cp:coreProperties>
</file>