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Checklist for EE&amp;CC</w:t>
      </w:r>
    </w:p>
    <w:p>
      <w:pPr>
        <w:pStyle w:val="Subtitle"/>
        <w:numPr>
          <w:ilvl w:val="0"/>
          <w:numId w:val="0"/>
        </w:numPr>
        <w:outlineLvl w:val="0"/>
        <w:rPr/>
      </w:pPr>
      <w:r>
        <w:rPr/>
        <w:t>Determinations for separate employer status</w:t>
      </w:r>
    </w:p>
    <w:p>
      <w:pPr>
        <w:pStyle w:val="Normal"/>
        <w:jc w:val="center"/>
        <w:rPr/>
      </w:pPr>
      <w:r>
        <w:rPr/>
      </w:r>
    </w:p>
    <w:p>
      <w:pPr>
        <w:pStyle w:val="Normal"/>
        <w:rPr/>
      </w:pPr>
      <w:r>
        <w:rPr>
          <w:sz w:val="20"/>
        </w:rPr>
        <w:t xml:space="preserve">NLRB and courts evaluate “all the facts and circumstances” in single employer and/or alter ego claims.  The proceedings typically rely on whether two separate enterprises are </w:t>
      </w:r>
      <w:r>
        <w:rPr>
          <w:i/>
          <w:sz w:val="20"/>
        </w:rPr>
        <w:t>functionally integrated</w:t>
      </w:r>
      <w:r>
        <w:rPr>
          <w:sz w:val="20"/>
        </w:rPr>
        <w:t xml:space="preserve"> by examinations of:</w:t>
      </w:r>
    </w:p>
    <w:p>
      <w:pPr>
        <w:pStyle w:val="Normal"/>
        <w:numPr>
          <w:ilvl w:val="0"/>
          <w:numId w:val="2"/>
        </w:numPr>
        <w:tabs>
          <w:tab w:val="clear" w:pos="720"/>
          <w:tab w:val="left" w:pos="480" w:leader="none"/>
        </w:tabs>
        <w:ind w:hanging="360" w:start="480" w:end="0"/>
        <w:rPr>
          <w:sz w:val="20"/>
        </w:rPr>
      </w:pPr>
      <w:r>
        <w:rPr>
          <w:sz w:val="20"/>
        </w:rPr>
        <w:t>Interrelation of Operations</w:t>
      </w:r>
    </w:p>
    <w:p>
      <w:pPr>
        <w:pStyle w:val="Normal"/>
        <w:numPr>
          <w:ilvl w:val="0"/>
          <w:numId w:val="2"/>
        </w:numPr>
        <w:tabs>
          <w:tab w:val="clear" w:pos="720"/>
          <w:tab w:val="left" w:pos="480" w:leader="none"/>
        </w:tabs>
        <w:ind w:hanging="360" w:start="480" w:end="0"/>
        <w:rPr>
          <w:sz w:val="20"/>
        </w:rPr>
      </w:pPr>
      <w:r>
        <w:rPr>
          <w:sz w:val="20"/>
        </w:rPr>
        <w:t>Centralized control of labor relations</w:t>
      </w:r>
    </w:p>
    <w:p>
      <w:pPr>
        <w:pStyle w:val="Normal"/>
        <w:numPr>
          <w:ilvl w:val="0"/>
          <w:numId w:val="2"/>
        </w:numPr>
        <w:tabs>
          <w:tab w:val="clear" w:pos="720"/>
          <w:tab w:val="left" w:pos="480" w:leader="none"/>
        </w:tabs>
        <w:ind w:hanging="360" w:start="480" w:end="0"/>
        <w:rPr>
          <w:sz w:val="20"/>
        </w:rPr>
      </w:pPr>
      <w:r>
        <w:rPr>
          <w:sz w:val="20"/>
        </w:rPr>
        <w:t>Common management</w:t>
      </w:r>
    </w:p>
    <w:p>
      <w:pPr>
        <w:pStyle w:val="Normal"/>
        <w:numPr>
          <w:ilvl w:val="0"/>
          <w:numId w:val="2"/>
        </w:numPr>
        <w:tabs>
          <w:tab w:val="clear" w:pos="720"/>
          <w:tab w:val="left" w:pos="480" w:leader="none"/>
        </w:tabs>
        <w:ind w:hanging="360" w:start="480" w:end="0"/>
        <w:rPr>
          <w:sz w:val="20"/>
        </w:rPr>
      </w:pPr>
      <w:r>
        <w:rPr>
          <w:sz w:val="20"/>
        </w:rPr>
        <w:t>Common ownership / financial control</w:t>
      </w:r>
    </w:p>
    <w:p>
      <w:pPr>
        <w:pStyle w:val="Normal"/>
        <w:rPr>
          <w:sz w:val="20"/>
        </w:rPr>
      </w:pPr>
      <w:r>
        <w:rPr>
          <w:sz w:val="20"/>
        </w:rPr>
      </w:r>
    </w:p>
    <w:p>
      <w:pPr>
        <w:pStyle w:val="Normal"/>
        <w:rPr>
          <w:sz w:val="20"/>
        </w:rPr>
      </w:pPr>
      <w:r>
        <w:rPr>
          <w:sz w:val="20"/>
        </w:rPr>
        <w:t>The advice memorandums indicate that no one specific element is viewed as the preeminent factor.  There is also legal consensus that three of the four are critical.  In order of determinative importance, they are:</w:t>
      </w:r>
    </w:p>
    <w:p>
      <w:pPr>
        <w:pStyle w:val="Normal"/>
        <w:numPr>
          <w:ilvl w:val="0"/>
          <w:numId w:val="1"/>
        </w:numPr>
        <w:rPr>
          <w:sz w:val="20"/>
        </w:rPr>
      </w:pPr>
      <w:r>
        <w:rPr>
          <w:sz w:val="20"/>
        </w:rPr>
        <w:t>Centralized control of labor relations</w:t>
      </w:r>
    </w:p>
    <w:p>
      <w:pPr>
        <w:pStyle w:val="Normal"/>
        <w:numPr>
          <w:ilvl w:val="0"/>
          <w:numId w:val="1"/>
        </w:numPr>
        <w:rPr>
          <w:sz w:val="20"/>
        </w:rPr>
      </w:pPr>
      <w:r>
        <w:rPr>
          <w:sz w:val="20"/>
        </w:rPr>
        <w:t>Interrelation of operations</w:t>
      </w:r>
    </w:p>
    <w:p>
      <w:pPr>
        <w:pStyle w:val="Normal"/>
        <w:numPr>
          <w:ilvl w:val="0"/>
          <w:numId w:val="1"/>
        </w:numPr>
        <w:rPr>
          <w:sz w:val="20"/>
        </w:rPr>
      </w:pPr>
      <w:r>
        <w:rPr>
          <w:sz w:val="20"/>
        </w:rPr>
        <w:t>Common management</w:t>
      </w:r>
    </w:p>
    <w:p>
      <w:pPr>
        <w:pStyle w:val="Normal"/>
        <w:rPr>
          <w:sz w:val="20"/>
        </w:rPr>
      </w:pPr>
      <w:r>
        <w:rPr>
          <w:sz w:val="20"/>
        </w:rPr>
      </w:r>
    </w:p>
    <w:p>
      <w:pPr>
        <w:pStyle w:val="Normal"/>
        <w:rPr>
          <w:sz w:val="20"/>
        </w:rPr>
      </w:pPr>
      <w:r>
        <w:rPr>
          <w:sz w:val="20"/>
        </w:rPr>
        <w:t>This checklist is created to track the critical delineation that ECC and NEPCO will need to observe to preserve separate entity (employer) status.</w:t>
      </w:r>
    </w:p>
    <w:p>
      <w:pPr>
        <w:pStyle w:val="Normal"/>
        <w:rPr>
          <w:sz w:val="20"/>
        </w:rPr>
      </w:pPr>
      <w:r>
        <w:rPr>
          <w:sz w:val="20"/>
        </w:rPr>
      </w:r>
    </w:p>
    <w:p>
      <w:pPr>
        <w:pStyle w:val="Normal"/>
        <w:rPr>
          <w:sz w:val="20"/>
        </w:rPr>
      </w:pPr>
      <w:r>
        <w:rPr>
          <w:sz w:val="20"/>
        </w:rPr>
      </w:r>
    </w:p>
    <w:p>
      <w:pPr>
        <w:pStyle w:val="Normal"/>
        <w:rPr>
          <w:sz w:val="20"/>
        </w:rPr>
      </w:pPr>
      <w:r>
        <w:rPr>
          <w:sz w:val="20"/>
        </w:rPr>
      </w:r>
    </w:p>
    <w:tbl>
      <w:tblPr>
        <w:tblW w:w="8707" w:type="dxa"/>
        <w:jc w:val="start"/>
        <w:tblInd w:w="0" w:type="dxa"/>
        <w:tblLayout w:type="fixed"/>
        <w:tblCellMar>
          <w:top w:w="0" w:type="dxa"/>
          <w:start w:w="30" w:type="dxa"/>
          <w:bottom w:w="0" w:type="dxa"/>
          <w:end w:w="30" w:type="dxa"/>
        </w:tblCellMar>
      </w:tblPr>
      <w:tblGrid>
        <w:gridCol w:w="2242"/>
        <w:gridCol w:w="4272"/>
        <w:gridCol w:w="2193"/>
      </w:tblGrid>
      <w:tr>
        <w:trPr>
          <w:trHeight w:val="264" w:hRule="atLeast"/>
        </w:trPr>
        <w:tc>
          <w:tcPr>
            <w:tcW w:w="2242" w:type="dxa"/>
            <w:tcBorders>
              <w:top w:val="single" w:sz="6" w:space="0" w:color="000000"/>
              <w:start w:val="single" w:sz="6" w:space="0" w:color="000000"/>
              <w:bottom w:val="single" w:sz="12" w:space="0" w:color="000000"/>
            </w:tcBorders>
          </w:tcPr>
          <w:p>
            <w:pPr>
              <w:pStyle w:val="Normal"/>
              <w:jc w:val="center"/>
              <w:rPr>
                <w:b/>
                <w:color w:val="000000"/>
                <w:sz w:val="20"/>
                <w:lang w:eastAsia="en-US"/>
              </w:rPr>
            </w:pPr>
            <w:r>
              <w:rPr>
                <w:b/>
                <w:color w:val="000000"/>
                <w:sz w:val="20"/>
                <w:lang w:eastAsia="en-US"/>
              </w:rPr>
              <w:t xml:space="preserve">ECC </w:t>
            </w:r>
          </w:p>
        </w:tc>
        <w:tc>
          <w:tcPr>
            <w:tcW w:w="4272" w:type="dxa"/>
            <w:tcBorders>
              <w:start w:val="single" w:sz="6" w:space="0" w:color="000000"/>
              <w:end w:val="single" w:sz="6" w:space="0" w:color="000000"/>
            </w:tcBorders>
          </w:tcPr>
          <w:p>
            <w:pPr>
              <w:pStyle w:val="Normal"/>
              <w:jc w:val="center"/>
              <w:rPr>
                <w:b/>
                <w:color w:val="000000"/>
                <w:sz w:val="20"/>
                <w:lang w:eastAsia="en-US"/>
              </w:rPr>
            </w:pPr>
            <w:r>
              <w:rPr>
                <w:b/>
                <w:color w:val="000000"/>
                <w:sz w:val="20"/>
                <w:lang w:eastAsia="en-US"/>
              </w:rPr>
              <w:t>Centralized control of Labor Relations</w:t>
            </w:r>
          </w:p>
        </w:tc>
        <w:tc>
          <w:tcPr>
            <w:tcW w:w="2193" w:type="dxa"/>
            <w:tcBorders>
              <w:top w:val="single" w:sz="6" w:space="0" w:color="000000"/>
              <w:start w:val="single" w:sz="6" w:space="0" w:color="000000"/>
              <w:bottom w:val="single" w:sz="12" w:space="0" w:color="000000"/>
              <w:end w:val="single" w:sz="6" w:space="0" w:color="000000"/>
            </w:tcBorders>
          </w:tcPr>
          <w:p>
            <w:pPr>
              <w:pStyle w:val="Normal"/>
              <w:jc w:val="center"/>
              <w:rPr>
                <w:b/>
                <w:color w:val="000000"/>
                <w:sz w:val="20"/>
                <w:lang w:eastAsia="en-US"/>
              </w:rPr>
            </w:pPr>
            <w:r>
              <w:rPr>
                <w:b/>
                <w:color w:val="000000"/>
                <w:sz w:val="20"/>
                <w:lang w:eastAsia="en-US"/>
              </w:rPr>
              <w:t>NEPCO</w:t>
            </w:r>
          </w:p>
        </w:tc>
      </w:tr>
      <w:tr>
        <w:trPr>
          <w:trHeight w:val="250" w:hRule="atLeast"/>
        </w:trPr>
        <w:tc>
          <w:tcPr>
            <w:tcW w:w="2242" w:type="dxa"/>
            <w:tcBorders>
              <w:start w:val="single" w:sz="6" w:space="0" w:color="000000"/>
            </w:tcBorders>
          </w:tcPr>
          <w:p>
            <w:pPr>
              <w:pStyle w:val="Normal"/>
              <w:jc w:val="center"/>
              <w:rPr>
                <w:color w:val="000000"/>
                <w:sz w:val="20"/>
                <w:lang w:eastAsia="en-US"/>
              </w:rPr>
            </w:pPr>
            <w:r>
              <w:rPr>
                <w:color w:val="000000"/>
                <w:sz w:val="20"/>
                <w:lang w:eastAsia="en-US"/>
              </w:rPr>
              <w:t>Union Contractor</w:t>
            </w:r>
          </w:p>
        </w:tc>
        <w:tc>
          <w:tcPr>
            <w:tcW w:w="4272" w:type="dxa"/>
            <w:tcBorders>
              <w:top w:val="single" w:sz="12" w:space="0" w:color="000000"/>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Merit shop Contractor</w:t>
            </w:r>
          </w:p>
        </w:tc>
      </w:tr>
      <w:tr>
        <w:trPr>
          <w:trHeight w:val="250" w:hRule="atLeast"/>
        </w:trPr>
        <w:tc>
          <w:tcPr>
            <w:tcW w:w="224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Subject to PLA &amp; Local</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Contractor wage, hour, &amp; working conditions</w:t>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 xml:space="preserve">Geographic / market </w:t>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Union Agreements</w:t>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based rates, &amp; terms</w:t>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Determined in collective</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Common rules governing employee conduct</w:t>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NEPCO site policy</w:t>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 xml:space="preserve">bargaining &amp; ECC </w:t>
            </w:r>
          </w:p>
        </w:tc>
        <w:tc>
          <w:tcPr>
            <w:tcW w:w="4272" w:type="dxa"/>
            <w:tcBorders>
              <w:start w:val="single" w:sz="6" w:space="0" w:color="000000"/>
              <w:end w:val="single" w:sz="6" w:space="0" w:color="000000"/>
            </w:tcBorders>
          </w:tcPr>
          <w:p>
            <w:pPr>
              <w:pStyle w:val="Normal"/>
              <w:snapToGrid w:val="false"/>
              <w:jc w:val="center"/>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procedures</w:t>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4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ECC policy and</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 xml:space="preserve">Safety, training, and program compliance </w:t>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NEPCO site policy</w:t>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union agreements</w:t>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4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 xml:space="preserve">Subject to the Joint </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Common benefits - insurance, pension,</w:t>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NEPCO specific</w:t>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Trusts and H&amp;W Acct</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Holidays, Insurance, leave policies</w:t>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Site practices</w:t>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with Trades Unions</w:t>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4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Union Hiring referral</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Common Hiring policies and practices</w:t>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Merit shop / market</w:t>
            </w:r>
          </w:p>
        </w:tc>
      </w:tr>
      <w:tr>
        <w:trPr>
          <w:trHeight w:val="250" w:hRule="atLeast"/>
        </w:trPr>
        <w:tc>
          <w:tcPr>
            <w:tcW w:w="224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and historical craft</w:t>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Subject to collective</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 xml:space="preserve">Common work schedule, hour, break, meals </w:t>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NEPCO job practices</w:t>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bargaining</w:t>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4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Limited to non-craft FTE</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Participation in company sponsored events</w:t>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limited to site locales</w:t>
            </w:r>
          </w:p>
        </w:tc>
      </w:tr>
      <w:tr>
        <w:trPr>
          <w:trHeight w:val="250" w:hRule="atLeast"/>
        </w:trPr>
        <w:tc>
          <w:tcPr>
            <w:tcW w:w="224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193"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ECC Officer</w:t>
            </w:r>
          </w:p>
        </w:tc>
        <w:tc>
          <w:tcPr>
            <w:tcW w:w="4272" w:type="dxa"/>
            <w:tcBorders>
              <w:start w:val="single" w:sz="6" w:space="0" w:color="000000"/>
              <w:end w:val="single" w:sz="6" w:space="0" w:color="000000"/>
            </w:tcBorders>
          </w:tcPr>
          <w:p>
            <w:pPr>
              <w:pStyle w:val="Normal"/>
              <w:jc w:val="center"/>
              <w:rPr>
                <w:color w:val="000000"/>
                <w:sz w:val="20"/>
                <w:lang w:eastAsia="en-US"/>
              </w:rPr>
            </w:pPr>
            <w:r>
              <w:rPr>
                <w:rFonts w:eastAsia="Arial"/>
                <w:color w:val="000000"/>
                <w:sz w:val="20"/>
                <w:lang w:eastAsia="en-US"/>
              </w:rPr>
              <w:t xml:space="preserve"> </w:t>
            </w:r>
            <w:r>
              <w:rPr>
                <w:color w:val="000000"/>
                <w:sz w:val="20"/>
                <w:lang w:eastAsia="en-US"/>
              </w:rPr>
              <w:t>Authority executing labor relations</w:t>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NEPCO Officer</w:t>
            </w:r>
          </w:p>
        </w:tc>
      </w:tr>
      <w:tr>
        <w:trPr>
          <w:trHeight w:val="250" w:hRule="atLeast"/>
        </w:trPr>
        <w:tc>
          <w:tcPr>
            <w:tcW w:w="2242" w:type="dxa"/>
            <w:tcBorders>
              <w:start w:val="single" w:sz="6" w:space="0" w:color="000000"/>
            </w:tcBorders>
          </w:tcPr>
          <w:p>
            <w:pPr>
              <w:pStyle w:val="Normal"/>
              <w:rPr>
                <w:color w:val="000000"/>
                <w:sz w:val="20"/>
                <w:lang w:eastAsia="en-US"/>
              </w:rPr>
            </w:pPr>
            <w:r>
              <w:rPr>
                <w:color w:val="000000"/>
                <w:sz w:val="20"/>
                <w:lang w:eastAsia="en-US"/>
              </w:rPr>
              <w:t>YES</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Corporate Service Agreement for LR</w:t>
            </w:r>
          </w:p>
        </w:tc>
        <w:tc>
          <w:tcPr>
            <w:tcW w:w="2193"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NO</w:t>
            </w:r>
          </w:p>
        </w:tc>
      </w:tr>
      <w:tr>
        <w:trPr>
          <w:trHeight w:val="250" w:hRule="atLeast"/>
        </w:trPr>
        <w:tc>
          <w:tcPr>
            <w:tcW w:w="2242" w:type="dxa"/>
            <w:tcBorders>
              <w:start w:val="single" w:sz="6" w:space="0" w:color="000000"/>
              <w:bottom w:val="single" w:sz="6"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w:t>
            </w:r>
          </w:p>
        </w:tc>
        <w:tc>
          <w:tcPr>
            <w:tcW w:w="4272" w:type="dxa"/>
            <w:tcBorders>
              <w:start w:val="single" w:sz="6" w:space="0" w:color="000000"/>
              <w:bottom w:val="single" w:sz="6" w:space="0" w:color="000000"/>
              <w:end w:val="single" w:sz="6" w:space="0" w:color="000000"/>
            </w:tcBorders>
          </w:tcPr>
          <w:p>
            <w:pPr>
              <w:pStyle w:val="Normal"/>
              <w:jc w:val="center"/>
              <w:rPr>
                <w:color w:val="000000"/>
                <w:sz w:val="20"/>
                <w:lang w:eastAsia="en-US"/>
              </w:rPr>
            </w:pPr>
            <w:r>
              <w:rPr>
                <w:color w:val="000000"/>
                <w:sz w:val="20"/>
                <w:lang w:eastAsia="en-US"/>
              </w:rPr>
              <w:t>Common Labor related legal Counsel</w:t>
            </w:r>
          </w:p>
        </w:tc>
        <w:tc>
          <w:tcPr>
            <w:tcW w:w="2193" w:type="dxa"/>
            <w:tcBorders>
              <w:start w:val="single" w:sz="6" w:space="0" w:color="000000"/>
              <w:bottom w:val="single" w:sz="6" w:space="0" w:color="000000"/>
              <w:end w:val="single" w:sz="6"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w:t>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bl>
      <w:tblPr>
        <w:tblW w:w="8842" w:type="dxa"/>
        <w:jc w:val="start"/>
        <w:tblInd w:w="0" w:type="dxa"/>
        <w:tblLayout w:type="fixed"/>
        <w:tblCellMar>
          <w:top w:w="0" w:type="dxa"/>
          <w:start w:w="30" w:type="dxa"/>
          <w:bottom w:w="0" w:type="dxa"/>
          <w:end w:w="30" w:type="dxa"/>
        </w:tblCellMar>
      </w:tblPr>
      <w:tblGrid>
        <w:gridCol w:w="2285"/>
        <w:gridCol w:w="4272"/>
        <w:gridCol w:w="2285"/>
      </w:tblGrid>
      <w:tr>
        <w:trPr>
          <w:trHeight w:val="264" w:hRule="atLeast"/>
        </w:trPr>
        <w:tc>
          <w:tcPr>
            <w:tcW w:w="2285" w:type="dxa"/>
            <w:tcBorders>
              <w:top w:val="single" w:sz="6" w:space="0" w:color="000000"/>
              <w:start w:val="single" w:sz="6" w:space="0" w:color="000000"/>
              <w:bottom w:val="single" w:sz="12" w:space="0" w:color="000000"/>
              <w:end w:val="single" w:sz="6" w:space="0" w:color="000000"/>
            </w:tcBorders>
          </w:tcPr>
          <w:p>
            <w:pPr>
              <w:pStyle w:val="Normal"/>
              <w:jc w:val="center"/>
              <w:rPr>
                <w:b/>
                <w:color w:val="000000"/>
                <w:sz w:val="20"/>
                <w:lang w:eastAsia="en-US"/>
              </w:rPr>
            </w:pPr>
            <w:r>
              <w:rPr>
                <w:b/>
                <w:color w:val="000000"/>
                <w:sz w:val="20"/>
                <w:lang w:eastAsia="en-US"/>
              </w:rPr>
              <w:t>ECC</w:t>
            </w:r>
          </w:p>
        </w:tc>
        <w:tc>
          <w:tcPr>
            <w:tcW w:w="4272" w:type="dxa"/>
            <w:tcBorders>
              <w:bottom w:val="single" w:sz="12" w:space="0" w:color="000000"/>
            </w:tcBorders>
          </w:tcPr>
          <w:p>
            <w:pPr>
              <w:pStyle w:val="Normal"/>
              <w:jc w:val="center"/>
              <w:rPr>
                <w:b/>
                <w:color w:val="000000"/>
                <w:sz w:val="20"/>
                <w:lang w:eastAsia="en-US"/>
              </w:rPr>
            </w:pPr>
            <w:r>
              <w:rPr>
                <w:b/>
                <w:color w:val="000000"/>
                <w:sz w:val="20"/>
                <w:lang w:eastAsia="en-US"/>
              </w:rPr>
              <w:t>Interrelations of Operations</w:t>
            </w:r>
          </w:p>
        </w:tc>
        <w:tc>
          <w:tcPr>
            <w:tcW w:w="2285" w:type="dxa"/>
            <w:tcBorders>
              <w:top w:val="single" w:sz="6" w:space="0" w:color="000000"/>
              <w:start w:val="single" w:sz="6" w:space="0" w:color="000000"/>
              <w:bottom w:val="single" w:sz="12" w:space="0" w:color="000000"/>
              <w:end w:val="single" w:sz="6" w:space="0" w:color="000000"/>
            </w:tcBorders>
          </w:tcPr>
          <w:p>
            <w:pPr>
              <w:pStyle w:val="Normal"/>
              <w:jc w:val="center"/>
              <w:rPr>
                <w:b/>
                <w:color w:val="000000"/>
                <w:sz w:val="20"/>
                <w:lang w:eastAsia="en-US"/>
              </w:rPr>
            </w:pPr>
            <w:r>
              <w:rPr>
                <w:b/>
                <w:color w:val="000000"/>
                <w:sz w:val="20"/>
                <w:lang w:eastAsia="en-US"/>
              </w:rPr>
              <w:t>NEPCO</w:t>
            </w:r>
          </w:p>
        </w:tc>
      </w:tr>
      <w:tr>
        <w:trPr>
          <w:trHeight w:val="250" w:hRule="atLeast"/>
        </w:trPr>
        <w:tc>
          <w:tcPr>
            <w:tcW w:w="2285"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Union Contractor</w:t>
            </w:r>
          </w:p>
        </w:tc>
        <w:tc>
          <w:tcPr>
            <w:tcW w:w="427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Merit shop Contractor</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 - Union referral hire</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Interchange of employees (Craft)</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No - Job service referral</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Yes - term specific</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Interchange of Supervisors</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Yes - project specific</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tcBorders>
          </w:tcPr>
          <w:p>
            <w:pPr>
              <w:pStyle w:val="Normal"/>
              <w:snapToGrid w:val="false"/>
              <w:jc w:val="center"/>
              <w:rPr>
                <w:color w:val="000000"/>
                <w:sz w:val="20"/>
                <w:lang w:eastAsia="en-US"/>
              </w:rPr>
            </w:pPr>
            <w:r>
              <w:rPr>
                <w:color w:val="000000"/>
                <w:sz w:val="20"/>
                <w:lang w:eastAsia="en-US"/>
              </w:rPr>
            </w:r>
          </w:p>
        </w:tc>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Supervisors manage or direct other Co. Ees</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No</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Union jobs - client</w:t>
            </w:r>
          </w:p>
        </w:tc>
        <w:tc>
          <w:tcPr>
            <w:tcW w:w="4272" w:type="dxa"/>
            <w:tcBorders>
              <w:start w:val="single" w:sz="6" w:space="0" w:color="000000"/>
            </w:tcBorders>
          </w:tcPr>
          <w:p>
            <w:pPr>
              <w:pStyle w:val="Normal"/>
              <w:jc w:val="center"/>
              <w:rPr/>
            </w:pPr>
            <w:r>
              <w:rPr>
                <w:color w:val="000000"/>
                <w:sz w:val="20"/>
                <w:lang w:eastAsia="en-US"/>
              </w:rPr>
              <w:t xml:space="preserve">Identity of Customer &amp; Market -  </w:t>
            </w:r>
            <w:r>
              <w:rPr>
                <w:i/>
                <w:color w:val="000000"/>
                <w:sz w:val="20"/>
                <w:lang w:eastAsia="en-US"/>
              </w:rPr>
              <w:t>Where the</w:t>
            </w:r>
            <w:r>
              <w:rPr>
                <w:color w:val="000000"/>
                <w:sz w:val="20"/>
                <w:lang w:eastAsia="en-US"/>
              </w:rPr>
              <w:t xml:space="preserve"> </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Non-union jobs – client</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jc w:val="center"/>
              <w:rPr>
                <w:i/>
                <w:i/>
                <w:color w:val="000000"/>
                <w:sz w:val="20"/>
                <w:lang w:eastAsia="en-US"/>
              </w:rPr>
            </w:pPr>
            <w:r>
              <w:rPr>
                <w:i/>
                <w:color w:val="000000"/>
                <w:sz w:val="20"/>
                <w:lang w:eastAsia="en-US"/>
              </w:rPr>
              <w:t xml:space="preserve">Company shares common business purpose. </w:t>
            </w:r>
          </w:p>
        </w:tc>
        <w:tc>
          <w:tcPr>
            <w:tcW w:w="2285" w:type="dxa"/>
            <w:tcBorders>
              <w:start w:val="single" w:sz="6" w:space="0" w:color="000000"/>
              <w:end w:val="single" w:sz="6" w:space="0" w:color="000000"/>
            </w:tcBorders>
          </w:tcPr>
          <w:p>
            <w:pPr>
              <w:pStyle w:val="Normal"/>
              <w:snapToGrid w:val="false"/>
              <w:jc w:val="end"/>
              <w:rPr>
                <w:i/>
                <w:i/>
                <w:color w:val="000000"/>
                <w:sz w:val="20"/>
                <w:lang w:eastAsia="en-US"/>
              </w:rPr>
            </w:pPr>
            <w:r>
              <w:rPr>
                <w:i/>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tcBorders>
          </w:tcPr>
          <w:p>
            <w:pPr>
              <w:pStyle w:val="Normal"/>
              <w:snapToGrid w:val="false"/>
              <w:jc w:val="end"/>
              <w:rPr>
                <w:i/>
                <w:i/>
                <w:color w:val="000000"/>
                <w:sz w:val="20"/>
                <w:lang w:eastAsia="en-US"/>
              </w:rPr>
            </w:pPr>
            <w:r>
              <w:rPr>
                <w:i/>
                <w:color w:val="000000"/>
                <w:sz w:val="20"/>
                <w:lang w:eastAsia="en-US"/>
              </w:rPr>
            </w:r>
          </w:p>
        </w:tc>
        <w:tc>
          <w:tcPr>
            <w:tcW w:w="2285" w:type="dxa"/>
            <w:tcBorders>
              <w:start w:val="single" w:sz="6" w:space="0" w:color="000000"/>
              <w:end w:val="single" w:sz="6" w:space="0" w:color="000000"/>
            </w:tcBorders>
          </w:tcPr>
          <w:p>
            <w:pPr>
              <w:pStyle w:val="Normal"/>
              <w:snapToGrid w:val="false"/>
              <w:jc w:val="end"/>
              <w:rPr>
                <w:i/>
                <w:i/>
                <w:color w:val="000000"/>
                <w:sz w:val="20"/>
                <w:lang w:eastAsia="en-US"/>
              </w:rPr>
            </w:pPr>
            <w:r>
              <w:rPr>
                <w:i/>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Yes</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 xml:space="preserve">Similar work and duties </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Yes</w:t>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co-mingle crews, interchange of personnel</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No</w:t>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Very rare situations</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working at a common site</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Very rare situations</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Common offices and/or office staffs</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No</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Common banking, cash, credit, accounts</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No</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EEC specific</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Personnel Records or Employee Handbooks</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NEPCO specific</w:t>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 - Local union records</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Consolidated employment records - Craft jobs</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Limited instances</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Common financial &amp; tax records</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No</w:t>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 - ? Any roll-up</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Financial statements - Audit reports</w:t>
            </w:r>
          </w:p>
        </w:tc>
        <w:tc>
          <w:tcPr>
            <w:tcW w:w="2285" w:type="dxa"/>
            <w:tcBorders>
              <w:start w:val="single" w:sz="6" w:space="0" w:color="000000"/>
              <w:end w:val="single" w:sz="6" w:space="0" w:color="000000"/>
            </w:tcBorders>
          </w:tcPr>
          <w:p>
            <w:pPr>
              <w:pStyle w:val="Normal"/>
              <w:jc w:val="end"/>
              <w:rPr>
                <w:color w:val="000000"/>
                <w:sz w:val="20"/>
                <w:lang w:eastAsia="en-US"/>
              </w:rPr>
            </w:pPr>
            <w:r>
              <w:rPr>
                <w:rFonts w:eastAsia="Arial"/>
                <w:color w:val="000000"/>
                <w:sz w:val="20"/>
                <w:lang w:eastAsia="en-US"/>
              </w:rPr>
              <w:t xml:space="preserve"> </w:t>
            </w:r>
            <w:r>
              <w:rPr>
                <w:color w:val="000000"/>
                <w:sz w:val="20"/>
                <w:lang w:eastAsia="en-US"/>
              </w:rPr>
              <w:t>No - ? Any roll-up</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Common facilities (site related)</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No</w:t>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Fair Market Accounting</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Common Tools &amp; Equipment</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Fair Market Accounting</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tcBorders>
          </w:tcPr>
          <w:p>
            <w:pPr>
              <w:pStyle w:val="Normal"/>
              <w:snapToGrid w:val="false"/>
              <w:jc w:val="center"/>
              <w:rPr>
                <w:color w:val="000000"/>
                <w:sz w:val="20"/>
                <w:lang w:eastAsia="en-US"/>
              </w:rPr>
            </w:pPr>
            <w:r>
              <w:rPr>
                <w:color w:val="000000"/>
                <w:sz w:val="20"/>
                <w:lang w:eastAsia="en-US"/>
              </w:rPr>
            </w:r>
          </w:p>
        </w:tc>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 xml:space="preserve">ECC - autonomous </w:t>
            </w:r>
          </w:p>
        </w:tc>
        <w:tc>
          <w:tcPr>
            <w:tcW w:w="4272" w:type="dxa"/>
            <w:tcBorders>
              <w:start w:val="single" w:sz="6" w:space="0" w:color="000000"/>
            </w:tcBorders>
          </w:tcPr>
          <w:p>
            <w:pPr>
              <w:pStyle w:val="Normal"/>
              <w:jc w:val="center"/>
              <w:rPr>
                <w:color w:val="000000"/>
                <w:sz w:val="20"/>
                <w:lang w:eastAsia="en-US"/>
              </w:rPr>
            </w:pPr>
            <w:r>
              <w:rPr>
                <w:color w:val="000000"/>
                <w:sz w:val="20"/>
                <w:lang w:eastAsia="en-US"/>
              </w:rPr>
              <w:t>Operations are dependant on one another</w:t>
            </w:r>
          </w:p>
        </w:tc>
        <w:tc>
          <w:tcPr>
            <w:tcW w:w="2285" w:type="dxa"/>
            <w:tcBorders>
              <w:start w:val="single" w:sz="6" w:space="0" w:color="000000"/>
              <w:end w:val="single" w:sz="6" w:space="0" w:color="000000"/>
            </w:tcBorders>
          </w:tcPr>
          <w:p>
            <w:pPr>
              <w:pStyle w:val="Normal"/>
              <w:jc w:val="end"/>
              <w:rPr>
                <w:color w:val="000000"/>
                <w:sz w:val="20"/>
                <w:lang w:eastAsia="en-US"/>
              </w:rPr>
            </w:pPr>
            <w:r>
              <w:rPr>
                <w:color w:val="000000"/>
                <w:sz w:val="20"/>
                <w:lang w:eastAsia="en-US"/>
              </w:rPr>
              <w:t>NEPCO autonomous</w:t>
            </w:r>
          </w:p>
        </w:tc>
      </w:tr>
      <w:tr>
        <w:trPr>
          <w:trHeight w:val="250" w:hRule="atLeast"/>
        </w:trPr>
        <w:tc>
          <w:tcPr>
            <w:tcW w:w="2285" w:type="dxa"/>
            <w:tcBorders>
              <w:start w:val="single" w:sz="6" w:space="0" w:color="000000"/>
              <w:bottom w:val="single" w:sz="6" w:space="0" w:color="000000"/>
              <w:end w:val="single" w:sz="6" w:space="0" w:color="000000"/>
            </w:tcBorders>
          </w:tcPr>
          <w:p>
            <w:pPr>
              <w:pStyle w:val="Normal"/>
              <w:rPr>
                <w:color w:val="000000"/>
                <w:sz w:val="20"/>
                <w:lang w:eastAsia="en-US"/>
              </w:rPr>
            </w:pPr>
            <w:r>
              <w:rPr>
                <w:color w:val="000000"/>
                <w:sz w:val="20"/>
                <w:lang w:eastAsia="en-US"/>
              </w:rPr>
              <w:t>Const. Management</w:t>
            </w:r>
          </w:p>
        </w:tc>
        <w:tc>
          <w:tcPr>
            <w:tcW w:w="4272" w:type="dxa"/>
            <w:tcBorders>
              <w:start w:val="single" w:sz="6" w:space="0" w:color="000000"/>
              <w:bottom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start w:val="single" w:sz="6" w:space="0" w:color="000000"/>
              <w:bottom w:val="single" w:sz="6" w:space="0" w:color="000000"/>
              <w:end w:val="single" w:sz="6" w:space="0" w:color="000000"/>
            </w:tcBorders>
          </w:tcPr>
          <w:p>
            <w:pPr>
              <w:pStyle w:val="Normal"/>
              <w:jc w:val="end"/>
              <w:rPr>
                <w:color w:val="000000"/>
                <w:sz w:val="20"/>
                <w:lang w:eastAsia="en-US"/>
              </w:rPr>
            </w:pPr>
            <w:r>
              <w:rPr>
                <w:color w:val="000000"/>
                <w:sz w:val="20"/>
                <w:lang w:eastAsia="en-US"/>
              </w:rPr>
              <w:t>Const. Management</w:t>
            </w:r>
          </w:p>
        </w:tc>
      </w:tr>
    </w:tbl>
    <w:p>
      <w:pPr>
        <w:pStyle w:val="Normal"/>
        <w:rPr>
          <w:sz w:val="20"/>
        </w:rPr>
      </w:pPr>
      <w:r>
        <w:rPr>
          <w:sz w:val="20"/>
        </w:rPr>
      </w:r>
    </w:p>
    <w:p>
      <w:pPr>
        <w:pStyle w:val="Normal"/>
        <w:rPr>
          <w:sz w:val="20"/>
        </w:rPr>
      </w:pPr>
      <w:r>
        <w:rPr>
          <w:sz w:val="20"/>
        </w:rPr>
      </w:r>
    </w:p>
    <w:p>
      <w:pPr>
        <w:pStyle w:val="Normal"/>
        <w:rPr>
          <w:sz w:val="20"/>
        </w:rPr>
      </w:pPr>
      <w:r>
        <w:rPr>
          <w:sz w:val="20"/>
        </w:rPr>
        <w:t>1.</w:t>
        <w:tab/>
        <w:t xml:space="preserve">A critical factor in whether separate legal entities operate as a single employer is the “degree” of common control.  Ownership is not determinative where common control is not evident.  Memorandums indicate that both the Courts and the Board examine common control as an active or actual element. The potential for common control can be distinguished from actual or active control. </w:t>
      </w:r>
    </w:p>
    <w:p>
      <w:pPr>
        <w:pStyle w:val="Normal"/>
        <w:rPr>
          <w:sz w:val="20"/>
        </w:rPr>
      </w:pPr>
      <w:r>
        <w:rPr>
          <w:sz w:val="20"/>
        </w:rPr>
      </w:r>
    </w:p>
    <w:p>
      <w:pPr>
        <w:pStyle w:val="Normal"/>
        <w:rPr>
          <w:sz w:val="20"/>
        </w:rPr>
      </w:pPr>
      <w:r>
        <w:rPr>
          <w:sz w:val="20"/>
        </w:rPr>
        <w:t xml:space="preserve">2. </w:t>
        <w:tab/>
        <w:t>Other court decisions and circumstances, evaluating the exercise of common ownership and financial control, rely on a standard of substance evidenced by the “arms-length relationship” found among un-integrated entities.</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bl>
      <w:tblPr>
        <w:tblW w:w="8842" w:type="dxa"/>
        <w:jc w:val="start"/>
        <w:tblInd w:w="0" w:type="dxa"/>
        <w:tblLayout w:type="fixed"/>
        <w:tblCellMar>
          <w:top w:w="0" w:type="dxa"/>
          <w:start w:w="30" w:type="dxa"/>
          <w:bottom w:w="0" w:type="dxa"/>
          <w:end w:w="30" w:type="dxa"/>
        </w:tblCellMar>
      </w:tblPr>
      <w:tblGrid>
        <w:gridCol w:w="2285"/>
        <w:gridCol w:w="4272"/>
        <w:gridCol w:w="2285"/>
      </w:tblGrid>
      <w:tr>
        <w:trPr>
          <w:trHeight w:val="264" w:hRule="atLeast"/>
        </w:trPr>
        <w:tc>
          <w:tcPr>
            <w:tcW w:w="2285" w:type="dxa"/>
            <w:tcBorders>
              <w:top w:val="single" w:sz="6" w:space="0" w:color="000000"/>
              <w:start w:val="single" w:sz="6" w:space="0" w:color="000000"/>
              <w:bottom w:val="single" w:sz="12" w:space="0" w:color="000000"/>
              <w:end w:val="single" w:sz="6" w:space="0" w:color="000000"/>
            </w:tcBorders>
          </w:tcPr>
          <w:p>
            <w:pPr>
              <w:pStyle w:val="Normal"/>
              <w:jc w:val="center"/>
              <w:rPr>
                <w:b/>
                <w:color w:val="000000"/>
                <w:lang w:eastAsia="en-US"/>
              </w:rPr>
            </w:pPr>
            <w:r>
              <w:rPr>
                <w:b/>
                <w:color w:val="000000"/>
                <w:lang w:eastAsia="en-US"/>
              </w:rPr>
              <w:t>ECC</w:t>
            </w:r>
          </w:p>
        </w:tc>
        <w:tc>
          <w:tcPr>
            <w:tcW w:w="4272" w:type="dxa"/>
            <w:tcBorders>
              <w:top w:val="single" w:sz="6" w:space="0" w:color="000000"/>
              <w:bottom w:val="single" w:sz="12" w:space="0" w:color="000000"/>
            </w:tcBorders>
          </w:tcPr>
          <w:p>
            <w:pPr>
              <w:pStyle w:val="Normal"/>
              <w:jc w:val="center"/>
              <w:rPr>
                <w:b/>
                <w:color w:val="000000"/>
                <w:lang w:eastAsia="en-US"/>
              </w:rPr>
            </w:pPr>
            <w:r>
              <w:rPr>
                <w:b/>
                <w:color w:val="000000"/>
                <w:lang w:eastAsia="en-US"/>
              </w:rPr>
              <w:t>Common Management</w:t>
            </w:r>
          </w:p>
        </w:tc>
        <w:tc>
          <w:tcPr>
            <w:tcW w:w="2285" w:type="dxa"/>
            <w:tcBorders>
              <w:top w:val="single" w:sz="6" w:space="0" w:color="000000"/>
              <w:bottom w:val="single" w:sz="12" w:space="0" w:color="000000"/>
              <w:end w:val="single" w:sz="6" w:space="0" w:color="000000"/>
            </w:tcBorders>
          </w:tcPr>
          <w:p>
            <w:pPr>
              <w:pStyle w:val="Normal"/>
              <w:jc w:val="center"/>
              <w:rPr>
                <w:b/>
                <w:color w:val="000000"/>
                <w:lang w:eastAsia="en-US"/>
              </w:rPr>
            </w:pPr>
            <w:r>
              <w:rPr>
                <w:b/>
                <w:color w:val="000000"/>
                <w:lang w:eastAsia="en-US"/>
              </w:rPr>
              <w:t>NEPCO</w:t>
            </w:r>
          </w:p>
        </w:tc>
      </w:tr>
      <w:tr>
        <w:trPr>
          <w:trHeight w:val="250" w:hRule="atLeast"/>
        </w:trPr>
        <w:tc>
          <w:tcPr>
            <w:tcW w:w="2285"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Union Contractor</w:t>
            </w:r>
          </w:p>
        </w:tc>
        <w:tc>
          <w:tcPr>
            <w:tcW w:w="4272" w:type="dxa"/>
            <w:tcBorders>
              <w:top w:val="single" w:sz="12" w:space="0" w:color="000000"/>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end w:val="single" w:sz="6" w:space="0" w:color="000000"/>
            </w:tcBorders>
          </w:tcPr>
          <w:p>
            <w:pPr>
              <w:pStyle w:val="Normal"/>
              <w:jc w:val="center"/>
              <w:rPr>
                <w:color w:val="000000"/>
                <w:sz w:val="20"/>
                <w:lang w:eastAsia="en-US"/>
              </w:rPr>
            </w:pPr>
            <w:r>
              <w:rPr>
                <w:color w:val="000000"/>
                <w:sz w:val="20"/>
                <w:lang w:eastAsia="en-US"/>
              </w:rPr>
              <w:t>Merit shop Contractor</w:t>
            </w:r>
          </w:p>
        </w:tc>
      </w:tr>
      <w:tr>
        <w:trPr>
          <w:trHeight w:val="250" w:hRule="atLeast"/>
        </w:trPr>
        <w:tc>
          <w:tcPr>
            <w:tcW w:w="2285" w:type="dxa"/>
            <w:tcBorders>
              <w:start w:val="single" w:sz="6" w:space="0" w:color="000000"/>
              <w:end w:val="single" w:sz="6" w:space="0" w:color="000000"/>
            </w:tcBorders>
          </w:tcPr>
          <w:p>
            <w:pPr>
              <w:pStyle w:val="Normal"/>
              <w:snapToGrid w:val="false"/>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jc w:val="center"/>
              <w:rPr>
                <w:i/>
                <w:i/>
                <w:color w:val="000000"/>
                <w:sz w:val="20"/>
                <w:lang w:eastAsia="en-US"/>
              </w:rPr>
            </w:pPr>
            <w:r>
              <w:rPr>
                <w:i/>
                <w:color w:val="000000"/>
                <w:sz w:val="20"/>
                <w:lang w:eastAsia="en-US"/>
              </w:rPr>
              <w:t xml:space="preserve">Nominal management of each Company is </w:t>
            </w:r>
          </w:p>
        </w:tc>
        <w:tc>
          <w:tcPr>
            <w:tcW w:w="2285" w:type="dxa"/>
            <w:tcBorders>
              <w:end w:val="single" w:sz="6" w:space="0" w:color="000000"/>
            </w:tcBorders>
          </w:tcPr>
          <w:p>
            <w:pPr>
              <w:pStyle w:val="Normal"/>
              <w:snapToGrid w:val="false"/>
              <w:jc w:val="end"/>
              <w:rPr>
                <w:i/>
                <w:i/>
                <w:color w:val="000000"/>
                <w:sz w:val="20"/>
                <w:lang w:eastAsia="en-US"/>
              </w:rPr>
            </w:pPr>
            <w:r>
              <w:rPr>
                <w:i/>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 xml:space="preserve">Dependant upon EEC's </w:t>
            </w:r>
          </w:p>
        </w:tc>
        <w:tc>
          <w:tcPr>
            <w:tcW w:w="4272" w:type="dxa"/>
            <w:tcBorders>
              <w:start w:val="single" w:sz="6" w:space="0" w:color="000000"/>
              <w:end w:val="single" w:sz="6" w:space="0" w:color="000000"/>
            </w:tcBorders>
          </w:tcPr>
          <w:p>
            <w:pPr>
              <w:pStyle w:val="Normal"/>
              <w:jc w:val="center"/>
              <w:rPr>
                <w:i/>
                <w:i/>
                <w:color w:val="000000"/>
                <w:sz w:val="20"/>
                <w:lang w:eastAsia="en-US"/>
              </w:rPr>
            </w:pPr>
            <w:r>
              <w:rPr>
                <w:i/>
                <w:color w:val="000000"/>
                <w:sz w:val="20"/>
                <w:lang w:eastAsia="en-US"/>
              </w:rPr>
              <w:t xml:space="preserve">Truly autonomous and exercises the direct </w:t>
            </w:r>
          </w:p>
        </w:tc>
        <w:tc>
          <w:tcPr>
            <w:tcW w:w="2285" w:type="dxa"/>
            <w:tcBorders>
              <w:end w:val="single" w:sz="6" w:space="0" w:color="000000"/>
            </w:tcBorders>
          </w:tcPr>
          <w:p>
            <w:pPr>
              <w:pStyle w:val="Normal"/>
              <w:jc w:val="end"/>
              <w:rPr>
                <w:color w:val="000000"/>
                <w:sz w:val="20"/>
                <w:lang w:eastAsia="en-US"/>
              </w:rPr>
            </w:pPr>
            <w:r>
              <w:rPr>
                <w:color w:val="000000"/>
                <w:sz w:val="20"/>
                <w:lang w:eastAsia="en-US"/>
              </w:rPr>
              <w:t>Depends upon NEPCO's</w:t>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managerial discipline</w:t>
            </w:r>
          </w:p>
        </w:tc>
        <w:tc>
          <w:tcPr>
            <w:tcW w:w="4272" w:type="dxa"/>
            <w:tcBorders>
              <w:start w:val="single" w:sz="6" w:space="0" w:color="000000"/>
              <w:end w:val="single" w:sz="6" w:space="0" w:color="000000"/>
            </w:tcBorders>
          </w:tcPr>
          <w:p>
            <w:pPr>
              <w:pStyle w:val="Normal"/>
              <w:jc w:val="center"/>
              <w:rPr>
                <w:i/>
                <w:i/>
                <w:color w:val="000000"/>
                <w:sz w:val="20"/>
                <w:lang w:eastAsia="en-US"/>
              </w:rPr>
            </w:pPr>
            <w:r>
              <w:rPr>
                <w:i/>
                <w:color w:val="000000"/>
                <w:sz w:val="20"/>
                <w:lang w:eastAsia="en-US"/>
              </w:rPr>
              <w:t>control of day to day activities</w:t>
            </w:r>
          </w:p>
        </w:tc>
        <w:tc>
          <w:tcPr>
            <w:tcW w:w="2285" w:type="dxa"/>
            <w:tcBorders>
              <w:end w:val="single" w:sz="6" w:space="0" w:color="000000"/>
            </w:tcBorders>
          </w:tcPr>
          <w:p>
            <w:pPr>
              <w:pStyle w:val="Normal"/>
              <w:jc w:val="end"/>
              <w:rPr>
                <w:color w:val="000000"/>
                <w:sz w:val="20"/>
                <w:lang w:eastAsia="en-US"/>
              </w:rPr>
            </w:pPr>
            <w:r>
              <w:rPr>
                <w:color w:val="000000"/>
                <w:sz w:val="20"/>
                <w:lang w:eastAsia="en-US"/>
              </w:rPr>
              <w:t>managerial discipline</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Some</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Common Board of Directors</w:t>
            </w:r>
          </w:p>
        </w:tc>
        <w:tc>
          <w:tcPr>
            <w:tcW w:w="2285" w:type="dxa"/>
            <w:tcBorders>
              <w:end w:val="single" w:sz="6" w:space="0" w:color="000000"/>
            </w:tcBorders>
          </w:tcPr>
          <w:p>
            <w:pPr>
              <w:pStyle w:val="Normal"/>
              <w:jc w:val="end"/>
              <w:rPr>
                <w:color w:val="000000"/>
                <w:sz w:val="20"/>
                <w:lang w:eastAsia="en-US"/>
              </w:rPr>
            </w:pPr>
            <w:r>
              <w:rPr>
                <w:color w:val="000000"/>
                <w:sz w:val="20"/>
                <w:lang w:eastAsia="en-US"/>
              </w:rPr>
              <w:t>Some</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center"/>
              <w:rPr>
                <w:color w:val="000000"/>
                <w:sz w:val="20"/>
                <w:lang w:eastAsia="en-US"/>
              </w:rPr>
            </w:pPr>
            <w:r>
              <w:rPr>
                <w:color w:val="000000"/>
                <w:sz w:val="20"/>
                <w:lang w:eastAsia="en-US"/>
              </w:rPr>
            </w:r>
          </w:p>
        </w:tc>
        <w:tc>
          <w:tcPr>
            <w:tcW w:w="2285" w:type="dxa"/>
            <w:tcBorders>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Some</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Common Officers</w:t>
            </w:r>
          </w:p>
        </w:tc>
        <w:tc>
          <w:tcPr>
            <w:tcW w:w="2285" w:type="dxa"/>
            <w:tcBorders>
              <w:end w:val="single" w:sz="6" w:space="0" w:color="000000"/>
            </w:tcBorders>
          </w:tcPr>
          <w:p>
            <w:pPr>
              <w:pStyle w:val="Normal"/>
              <w:jc w:val="end"/>
              <w:rPr>
                <w:color w:val="000000"/>
                <w:sz w:val="20"/>
                <w:lang w:eastAsia="en-US"/>
              </w:rPr>
            </w:pPr>
            <w:r>
              <w:rPr>
                <w:color w:val="000000"/>
                <w:sz w:val="20"/>
                <w:lang w:eastAsia="en-US"/>
              </w:rPr>
              <w:t>Some</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Project related</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Common management oversight</w:t>
            </w:r>
          </w:p>
        </w:tc>
        <w:tc>
          <w:tcPr>
            <w:tcW w:w="2285" w:type="dxa"/>
            <w:tcBorders>
              <w:end w:val="single" w:sz="6" w:space="0" w:color="000000"/>
            </w:tcBorders>
          </w:tcPr>
          <w:p>
            <w:pPr>
              <w:pStyle w:val="Normal"/>
              <w:jc w:val="end"/>
              <w:rPr>
                <w:color w:val="000000"/>
                <w:sz w:val="20"/>
                <w:lang w:eastAsia="en-US"/>
              </w:rPr>
            </w:pPr>
            <w:r>
              <w:rPr>
                <w:color w:val="000000"/>
                <w:sz w:val="20"/>
                <w:lang w:eastAsia="en-US"/>
              </w:rPr>
              <w:t>Project related</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Common supervisory oversight</w:t>
            </w:r>
          </w:p>
        </w:tc>
        <w:tc>
          <w:tcPr>
            <w:tcW w:w="2285" w:type="dxa"/>
            <w:tcBorders>
              <w:end w:val="single" w:sz="6" w:space="0" w:color="000000"/>
            </w:tcBorders>
          </w:tcPr>
          <w:p>
            <w:pPr>
              <w:pStyle w:val="Normal"/>
              <w:jc w:val="end"/>
              <w:rPr>
                <w:color w:val="000000"/>
                <w:sz w:val="20"/>
                <w:lang w:eastAsia="en-US"/>
              </w:rPr>
            </w:pPr>
            <w:r>
              <w:rPr>
                <w:color w:val="000000"/>
                <w:sz w:val="20"/>
                <w:lang w:eastAsia="en-US"/>
              </w:rPr>
              <w:t>NO</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jc w:val="center"/>
              <w:rPr>
                <w:b/>
                <w:color w:val="000000"/>
                <w:sz w:val="20"/>
                <w:lang w:eastAsia="en-US"/>
              </w:rPr>
            </w:pPr>
            <w:r>
              <w:rPr>
                <w:b/>
                <w:color w:val="000000"/>
                <w:sz w:val="20"/>
                <w:lang w:eastAsia="en-US"/>
              </w:rPr>
              <w:t>Alter Ego Considerations</w:t>
            </w:r>
          </w:p>
        </w:tc>
        <w:tc>
          <w:tcPr>
            <w:tcW w:w="2285" w:type="dxa"/>
            <w:tcBorders>
              <w:end w:val="single" w:sz="6" w:space="0" w:color="000000"/>
            </w:tcBorders>
          </w:tcPr>
          <w:p>
            <w:pPr>
              <w:pStyle w:val="Normal"/>
              <w:snapToGrid w:val="false"/>
              <w:jc w:val="end"/>
              <w:rPr>
                <w:b/>
                <w:color w:val="000000"/>
                <w:sz w:val="20"/>
                <w:lang w:eastAsia="en-US"/>
              </w:rPr>
            </w:pPr>
            <w:r>
              <w:rPr>
                <w:b/>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Intent to deprive Union workforce</w:t>
            </w:r>
          </w:p>
        </w:tc>
        <w:tc>
          <w:tcPr>
            <w:tcW w:w="2285" w:type="dxa"/>
            <w:tcBorders>
              <w:end w:val="single" w:sz="6" w:space="0" w:color="000000"/>
            </w:tcBorders>
          </w:tcPr>
          <w:p>
            <w:pPr>
              <w:pStyle w:val="Normal"/>
              <w:jc w:val="end"/>
              <w:rPr>
                <w:color w:val="000000"/>
                <w:sz w:val="20"/>
                <w:lang w:eastAsia="en-US"/>
              </w:rPr>
            </w:pPr>
            <w:r>
              <w:rPr>
                <w:color w:val="000000"/>
                <w:sz w:val="20"/>
                <w:lang w:eastAsia="en-US"/>
              </w:rPr>
              <w:t>Use merit shop hiring</w:t>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Intent to avoid an existing Contract obligation</w:t>
            </w:r>
          </w:p>
        </w:tc>
        <w:tc>
          <w:tcPr>
            <w:tcW w:w="2285" w:type="dxa"/>
            <w:tcBorders>
              <w:end w:val="single" w:sz="6" w:space="0" w:color="000000"/>
            </w:tcBorders>
          </w:tcPr>
          <w:p>
            <w:pPr>
              <w:pStyle w:val="Normal"/>
              <w:jc w:val="end"/>
              <w:rPr>
                <w:color w:val="000000"/>
                <w:sz w:val="20"/>
                <w:lang w:eastAsia="en-US"/>
              </w:rPr>
            </w:pPr>
            <w:r>
              <w:rPr>
                <w:color w:val="000000"/>
                <w:sz w:val="20"/>
                <w:lang w:eastAsia="en-US"/>
              </w:rPr>
              <w:t>Avoid assuming CBAs</w:t>
            </w:r>
          </w:p>
        </w:tc>
      </w:tr>
      <w:tr>
        <w:trPr>
          <w:trHeight w:val="250" w:hRule="atLeast"/>
        </w:trPr>
        <w:tc>
          <w:tcPr>
            <w:tcW w:w="2285" w:type="dxa"/>
            <w:tcBorders>
              <w:start w:val="single" w:sz="6" w:space="0" w:color="000000"/>
              <w:end w:val="single" w:sz="6" w:space="0" w:color="000000"/>
            </w:tcBorders>
          </w:tcPr>
          <w:p>
            <w:pPr>
              <w:pStyle w:val="Normal"/>
              <w:rPr>
                <w:color w:val="000000"/>
                <w:sz w:val="20"/>
                <w:lang w:eastAsia="en-US"/>
              </w:rPr>
            </w:pPr>
            <w:r>
              <w:rPr>
                <w:color w:val="000000"/>
                <w:sz w:val="20"/>
                <w:lang w:eastAsia="en-US"/>
              </w:rPr>
              <w:t>No</w:t>
            </w:r>
          </w:p>
        </w:tc>
        <w:tc>
          <w:tcPr>
            <w:tcW w:w="4272" w:type="dxa"/>
            <w:tcBorders>
              <w:start w:val="single" w:sz="6" w:space="0" w:color="000000"/>
              <w:end w:val="single" w:sz="6" w:space="0" w:color="000000"/>
            </w:tcBorders>
          </w:tcPr>
          <w:p>
            <w:pPr>
              <w:pStyle w:val="Normal"/>
              <w:jc w:val="center"/>
              <w:rPr>
                <w:color w:val="000000"/>
                <w:sz w:val="20"/>
                <w:lang w:eastAsia="en-US"/>
              </w:rPr>
            </w:pPr>
            <w:r>
              <w:rPr>
                <w:color w:val="000000"/>
                <w:sz w:val="20"/>
                <w:lang w:eastAsia="en-US"/>
              </w:rPr>
              <w:t>Evasive intent</w:t>
            </w:r>
          </w:p>
        </w:tc>
        <w:tc>
          <w:tcPr>
            <w:tcW w:w="2285" w:type="dxa"/>
            <w:tcBorders>
              <w:end w:val="single" w:sz="6" w:space="0" w:color="000000"/>
            </w:tcBorders>
          </w:tcPr>
          <w:p>
            <w:pPr>
              <w:pStyle w:val="Normal"/>
              <w:jc w:val="end"/>
              <w:rPr>
                <w:color w:val="000000"/>
                <w:sz w:val="20"/>
                <w:lang w:eastAsia="en-US"/>
              </w:rPr>
            </w:pPr>
            <w:r>
              <w:rPr>
                <w:color w:val="000000"/>
                <w:sz w:val="20"/>
                <w:lang w:eastAsia="en-US"/>
              </w:rPr>
              <w:t>Potential ULP charge</w:t>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end w:val="single" w:sz="6" w:space="0" w:color="000000"/>
            </w:tcBorders>
          </w:tcPr>
          <w:p>
            <w:pPr>
              <w:pStyle w:val="Normal"/>
              <w:snapToGrid w:val="false"/>
              <w:jc w:val="end"/>
              <w:rPr>
                <w:color w:val="000000"/>
                <w:sz w:val="20"/>
                <w:lang w:eastAsia="en-US"/>
              </w:rPr>
            </w:pPr>
            <w:r>
              <w:rPr>
                <w:color w:val="000000"/>
                <w:sz w:val="20"/>
                <w:lang w:eastAsia="en-US"/>
              </w:rPr>
            </w:r>
          </w:p>
        </w:tc>
      </w:tr>
      <w:tr>
        <w:trPr>
          <w:trHeight w:val="250" w:hRule="atLeast"/>
        </w:trPr>
        <w:tc>
          <w:tcPr>
            <w:tcW w:w="2285" w:type="dxa"/>
            <w:tcBorders>
              <w:start w:val="single" w:sz="6" w:space="0" w:color="000000"/>
              <w:bottom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4272" w:type="dxa"/>
            <w:tcBorders>
              <w:start w:val="single" w:sz="6" w:space="0" w:color="000000"/>
              <w:bottom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c>
          <w:tcPr>
            <w:tcW w:w="2285" w:type="dxa"/>
            <w:tcBorders>
              <w:bottom w:val="single" w:sz="6" w:space="0" w:color="000000"/>
              <w:end w:val="single" w:sz="6" w:space="0" w:color="000000"/>
            </w:tcBorders>
          </w:tcPr>
          <w:p>
            <w:pPr>
              <w:pStyle w:val="Normal"/>
              <w:snapToGrid w:val="false"/>
              <w:jc w:val="end"/>
              <w:rPr>
                <w:color w:val="000000"/>
                <w:sz w:val="20"/>
                <w:lang w:eastAsia="en-US"/>
              </w:rPr>
            </w:pPr>
            <w:r>
              <w:rPr>
                <w:color w:val="000000"/>
                <w:sz w:val="20"/>
                <w:lang w:eastAsia="en-US"/>
              </w:rPr>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1.</w:t>
        <w:tab/>
        <w:t xml:space="preserve">In addition to the single employer issue, The NLRB may examine an “alter ego” complaint. Determining whether an employer’s intent in forming and maintaining dual entities was to avoid responsibilities under the Labor Act, the Board has typically looked for evasive intent.  The most common measure being a clear indication that a union-represented group of employees has been disadvantaged in relation to a non-represented group of employees. </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R. Johnson</w:t>
      </w:r>
    </w:p>
    <w:p>
      <w:pPr>
        <w:pStyle w:val="Normal"/>
        <w:rPr>
          <w:sz w:val="20"/>
        </w:rPr>
      </w:pPr>
      <w:r>
        <w:rPr>
          <w:sz w:val="20"/>
        </w:rPr>
        <w:t>Enron Corp. Human Resources</w:t>
      </w:r>
    </w:p>
    <w:p>
      <w:pPr>
        <w:pStyle w:val="Normal"/>
        <w:rPr>
          <w:sz w:val="20"/>
        </w:rPr>
      </w:pPr>
      <w:r>
        <w:rPr>
          <w:sz w:val="20"/>
        </w:rPr>
        <w:t>Office of Labor &amp; Employment Relations</w:t>
      </w:r>
    </w:p>
    <w:p>
      <w:pPr>
        <w:pStyle w:val="Normal"/>
        <w:rPr>
          <w:sz w:val="20"/>
        </w:rPr>
      </w:pPr>
      <w:r>
        <w:rPr>
          <w:sz w:val="20"/>
        </w:rPr>
      </w:r>
    </w:p>
    <w:p>
      <w:pPr>
        <w:pStyle w:val="Normal"/>
        <w:rPr>
          <w:sz w:val="20"/>
        </w:rPr>
      </w:pPr>
      <w:r>
        <w:rPr>
          <w:sz w:val="20"/>
        </w:rPr>
        <w:t>June 1, 2000</w:t>
      </w:r>
    </w:p>
    <w:p>
      <w:pPr>
        <w:pStyle w:val="Normal"/>
        <w:rPr>
          <w:sz w:val="20"/>
        </w:rPr>
      </w:pPr>
      <w:r>
        <w:rPr>
          <w:sz w:val="20"/>
        </w:rPr>
        <w:t>File: Dbchecklist.doc</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u w:val="single"/>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2000-05-31T12:41:00Z</dcterms:created>
  <dc:creator>rjohnson</dc:creator>
  <dc:description/>
  <dc:language>en-CA</dc:language>
  <cp:lastModifiedBy>rjohnson</cp:lastModifiedBy>
  <cp:lastPrinted>2000-06-01T10:45:00Z</cp:lastPrinted>
  <dcterms:modified xsi:type="dcterms:W3CDTF">2000-06-01T13:24:00Z</dcterms:modified>
  <cp:revision>8</cp:revision>
  <dc:subject/>
  <dc:title>Checklist for EE&amp;CC</dc:title>
</cp:coreProperties>
</file>