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numPr>
          <w:ilvl w:val="0"/>
          <w:numId w:val="0"/>
        </w:numPr>
        <w:spacing w:before="120" w:after="240"/>
        <w:ind w:hanging="0" w:start="0"/>
        <w:jc w:val="center"/>
        <w:outlineLvl w:val="0"/>
        <w:rPr>
          <w:sz w:val="28"/>
        </w:rPr>
      </w:pPr>
      <w:r>
        <mc:AlternateContent>
          <mc:Choice Requires="wps">
            <w:drawing>
              <wp:anchor behindDoc="0" distT="0" distB="0" distL="114935" distR="114935" simplePos="0" locked="0" layoutInCell="1" allowOverlap="1" relativeHeight="2">
                <wp:simplePos x="0" y="0"/>
                <wp:positionH relativeFrom="column">
                  <wp:posOffset>1280160</wp:posOffset>
                </wp:positionH>
                <wp:positionV relativeFrom="paragraph">
                  <wp:posOffset>320040</wp:posOffset>
                </wp:positionV>
                <wp:extent cx="3201035" cy="635"/>
                <wp:effectExtent l="635" t="6350" r="635" b="6350"/>
                <wp:wrapNone/>
                <wp:docPr id="1" name=""/>
                <a:graphic xmlns:a="http://schemas.openxmlformats.org/drawingml/2006/main">
                  <a:graphicData uri="http://schemas.microsoft.com/office/word/2010/wordprocessingShape">
                    <wps:wsp>
                      <wps:cNvSpPr/>
                      <wps:spPr>
                        <a:xfrm>
                          <a:off x="0" y="0"/>
                          <a:ext cx="320112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0.8pt,25.2pt" to="352.8pt,25.2pt" stroked="t" o:allowincell="f" style="position:absolute">
                <v:stroke color="black" weight="12600" joinstyle="miter" endcap="flat"/>
                <v:fill o:detectmouseclick="t" on="false"/>
                <w10:wrap type="none"/>
              </v:line>
            </w:pict>
          </mc:Fallback>
        </mc:AlternateContent>
      </w:r>
      <w:r>
        <w:rPr>
          <w:sz w:val="28"/>
        </w:rPr>
        <w:t>Memorandum</w:t>
      </w:r>
    </w:p>
    <w:p>
      <w:pPr>
        <w:pStyle w:val="BodyText"/>
        <w:spacing w:before="0" w:after="480"/>
        <w:jc w:val="center"/>
        <w:rPr/>
      </w:pPr>
      <w:bookmarkStart w:id="0" w:name="BodyDate"/>
      <w:bookmarkEnd w:id="0"/>
      <w:r>
        <w:rPr/>
        <w:t>September 18, 2000</w:t>
      </w:r>
    </w:p>
    <w:tbl>
      <w:tblPr>
        <w:tblW w:w="8301" w:type="dxa"/>
        <w:jc w:val="start"/>
        <w:tblInd w:w="0" w:type="dxa"/>
        <w:tblLayout w:type="fixed"/>
        <w:tblCellMar>
          <w:top w:w="0" w:type="dxa"/>
          <w:start w:w="108" w:type="dxa"/>
          <w:bottom w:w="0" w:type="dxa"/>
          <w:end w:w="108" w:type="dxa"/>
        </w:tblCellMar>
      </w:tblPr>
      <w:tblGrid>
        <w:gridCol w:w="1083"/>
        <w:gridCol w:w="7218"/>
      </w:tblGrid>
      <w:tr>
        <w:trPr/>
        <w:tc>
          <w:tcPr>
            <w:tcW w:w="1083" w:type="dxa"/>
            <w:tcBorders/>
          </w:tcPr>
          <w:p>
            <w:pPr>
              <w:pStyle w:val="BodyText"/>
              <w:rPr/>
            </w:pPr>
            <w:r>
              <w:rPr/>
              <w:t>TO:</w:t>
            </w:r>
          </w:p>
        </w:tc>
        <w:tc>
          <w:tcPr>
            <w:tcW w:w="7218" w:type="dxa"/>
            <w:tcBorders/>
          </w:tcPr>
          <w:p>
            <w:pPr>
              <w:pStyle w:val="BodyText"/>
              <w:ind w:firstLine="357" w:end="0"/>
              <w:rPr/>
            </w:pPr>
            <w:bookmarkStart w:id="1" w:name="MemoTo"/>
            <w:bookmarkEnd w:id="1"/>
            <w:r>
              <w:rPr/>
              <w:t>Nora Dobin</w:t>
            </w:r>
          </w:p>
        </w:tc>
      </w:tr>
      <w:tr>
        <w:trPr/>
        <w:tc>
          <w:tcPr>
            <w:tcW w:w="1083" w:type="dxa"/>
            <w:tcBorders/>
          </w:tcPr>
          <w:p>
            <w:pPr>
              <w:pStyle w:val="BodyText"/>
              <w:snapToGrid w:val="false"/>
              <w:rPr/>
            </w:pPr>
            <w:r>
              <w:rPr/>
            </w:r>
          </w:p>
        </w:tc>
        <w:tc>
          <w:tcPr>
            <w:tcW w:w="7218" w:type="dxa"/>
            <w:tcBorders/>
          </w:tcPr>
          <w:p>
            <w:pPr>
              <w:pStyle w:val="BodyText"/>
              <w:snapToGrid w:val="false"/>
              <w:ind w:start="357" w:end="0"/>
              <w:rPr/>
            </w:pPr>
            <w:r>
              <w:rPr/>
            </w:r>
          </w:p>
        </w:tc>
      </w:tr>
      <w:tr>
        <w:trPr/>
        <w:tc>
          <w:tcPr>
            <w:tcW w:w="1083" w:type="dxa"/>
            <w:tcBorders/>
          </w:tcPr>
          <w:p>
            <w:pPr>
              <w:pStyle w:val="BodyText"/>
              <w:rPr/>
            </w:pPr>
            <w:r>
              <w:rPr/>
              <w:t>FROM:</w:t>
            </w:r>
          </w:p>
        </w:tc>
        <w:tc>
          <w:tcPr>
            <w:tcW w:w="7218" w:type="dxa"/>
            <w:tcBorders/>
          </w:tcPr>
          <w:p>
            <w:pPr>
              <w:pStyle w:val="BodyText"/>
              <w:ind w:start="357" w:end="0"/>
              <w:rPr/>
            </w:pPr>
            <w:bookmarkStart w:id="2" w:name="MemoFrom"/>
            <w:bookmarkEnd w:id="2"/>
            <w:r>
              <w:rPr/>
              <w:t>Debbie Ramirez and Dean Harvey</w:t>
            </w:r>
          </w:p>
        </w:tc>
      </w:tr>
    </w:tbl>
    <w:p>
      <w:pPr>
        <w:pStyle w:val="BodyText"/>
        <w:ind w:hanging="1440" w:start="1440" w:end="0"/>
        <w:rPr/>
      </w:pPr>
      <w:r>
        <w:rPr/>
      </w:r>
    </w:p>
    <w:p>
      <w:pPr>
        <w:pStyle w:val="BodyText"/>
        <w:spacing w:before="0" w:after="120"/>
        <w:ind w:hanging="1440" w:start="1440" w:end="0"/>
        <w:rPr/>
      </w:pPr>
      <w:r>
        <w:rPr/>
        <w:t>RE:</w:t>
        <w:tab/>
      </w:r>
      <w:bookmarkStart w:id="3" w:name="MemoRegarding"/>
      <w:bookmarkEnd w:id="3"/>
      <w:r>
        <w:rPr/>
        <w:t>Electronic Contract &amp; Digital Signature Legislation</w:t>
      </w:r>
    </w:p>
    <w:p>
      <w:pPr>
        <w:pStyle w:val="BodyText"/>
        <w:spacing w:before="0" w:after="120"/>
        <w:ind w:hanging="1440" w:start="1440" w:end="0"/>
        <w:rPr/>
      </w:pPr>
      <w:r>
        <w:rPr/>
      </w:r>
    </w:p>
    <w:p>
      <w:pPr>
        <w:pStyle w:val="BodyText"/>
        <w:jc w:val="both"/>
        <w:rPr/>
      </w:pPr>
      <w:r>
        <w:rPr/>
        <w:tab/>
      </w:r>
      <w:bookmarkStart w:id="4" w:name="Start"/>
      <w:bookmarkEnd w:id="4"/>
      <w:r>
        <w:rPr/>
        <w:t xml:space="preserve">This memorandum provides summaries and comparisons of certain legislation and uniform laws relating to electronic contracts and digital signatures, including the recently enacted Electronic Signatures in Global and National Commerce Act, laws in Texas, New York and Delaware, the Uniform Electronic Transactions Act and the Uniform Computer Information Transactions Act.  </w:t>
      </w:r>
    </w:p>
    <w:p>
      <w:pPr>
        <w:pStyle w:val="BodyText"/>
        <w:jc w:val="both"/>
        <w:rPr/>
      </w:pPr>
      <w:r>
        <w:rPr/>
      </w:r>
    </w:p>
    <w:p>
      <w:pPr>
        <w:pStyle w:val="BodyText"/>
        <w:ind w:firstLine="720" w:end="0"/>
        <w:jc w:val="both"/>
        <w:rPr>
          <w:i/>
          <w:i/>
        </w:rPr>
      </w:pPr>
      <w:r>
        <w:rPr>
          <w:i/>
        </w:rPr>
        <w:t>This memorandum is not intended to be an exhaustive study of all electronic contract and digital signature laws and is not intended as a substitute for the advice of counsel prior to initiating particular transactions involving electronic contracts and digital signatures.</w:t>
      </w:r>
    </w:p>
    <w:p>
      <w:pPr>
        <w:pStyle w:val="BodyText"/>
        <w:jc w:val="both"/>
        <w:rPr>
          <w:b/>
        </w:rPr>
      </w:pPr>
      <w:r>
        <w:rPr>
          <w:b/>
        </w:rPr>
      </w:r>
    </w:p>
    <w:p>
      <w:pPr>
        <w:pStyle w:val="BodyText"/>
        <w:jc w:val="both"/>
        <w:rPr>
          <w:b/>
        </w:rPr>
      </w:pPr>
      <w:r>
        <w:rPr>
          <w:b/>
        </w:rPr>
        <w:t>I.</w:t>
        <w:tab/>
        <w:t>Summary of Contract Enforceability and Proof Issues</w:t>
      </w:r>
    </w:p>
    <w:p>
      <w:pPr>
        <w:pStyle w:val="BodyText"/>
        <w:jc w:val="both"/>
        <w:rPr>
          <w:b/>
        </w:rPr>
      </w:pPr>
      <w:r>
        <w:rPr>
          <w:b/>
        </w:rPr>
      </w:r>
    </w:p>
    <w:p>
      <w:pPr>
        <w:pStyle w:val="Normal"/>
        <w:ind w:start="0" w:end="0"/>
        <w:jc w:val="both"/>
        <w:rPr>
          <w:b/>
        </w:rPr>
      </w:pPr>
      <w:r>
        <w:rPr>
          <w:b/>
        </w:rPr>
        <w:t>A.</w:t>
        <w:tab/>
        <w:t>The “Signed Writing” Requirement</w:t>
      </w:r>
    </w:p>
    <w:p>
      <w:pPr>
        <w:pStyle w:val="Normal"/>
        <w:ind w:firstLine="720" w:start="0" w:end="0"/>
        <w:jc w:val="both"/>
        <w:rPr>
          <w:b/>
        </w:rPr>
      </w:pPr>
      <w:r>
        <w:rPr>
          <w:b/>
        </w:rPr>
      </w:r>
    </w:p>
    <w:p>
      <w:pPr>
        <w:pStyle w:val="Normal"/>
        <w:ind w:firstLine="1440" w:start="0" w:end="0"/>
        <w:jc w:val="both"/>
        <w:rPr/>
      </w:pPr>
      <w:r>
        <w:rPr/>
        <w:t>The fundamental uncertainty presented by an on-line contract centers on whether the contract can be said to be “in writing” and/or “signed.”  The law does not always require a writing or a signature as prerequisite to a contract,</w:t>
      </w:r>
      <w:r>
        <w:rPr>
          <w:rStyle w:val="FootnoteCharacters"/>
          <w:rStyle w:val="FootnoteReference"/>
        </w:rPr>
        <w:footnoteReference w:id="2"/>
      </w:r>
      <w:r>
        <w:rPr/>
        <w:t xml:space="preserve"> and courts have, at times, been quite broad in defining a “writing.”</w:t>
      </w:r>
      <w:r>
        <w:rPr>
          <w:rStyle w:val="FootnoteCharacters"/>
          <w:rStyle w:val="FootnoteReference"/>
        </w:rPr>
        <w:footnoteReference w:id="3"/>
      </w:r>
      <w:r>
        <w:rPr/>
        <w:t xml:space="preserve">  Nevertheless, the requirements of a “signed writing” are the hallmarks of an enforceable agreement.  As a practical matter, a trier of fact is more likely to hold a party to the terms of a signed writing than an alleged oral agreement or an agreement by conduct.  Written contracts serve as demonstrable proof of the nature of the parties’ agreement, and a signed contract unequivocally establishes a party’s awareness of the promises it made.  The law does not always require a signature for an agreement to be binding.</w:t>
      </w:r>
      <w:r>
        <w:rPr>
          <w:rStyle w:val="FootnoteCharacters"/>
          <w:rStyle w:val="FootnoteReference"/>
        </w:rPr>
        <w:footnoteReference w:id="4"/>
      </w:r>
      <w:r>
        <w:rPr/>
        <w:t xml:space="preserve">  Nevertheless, a signature is still one of the most commonly recognized forms of assent.</w:t>
      </w:r>
      <w:r>
        <w:rPr>
          <w:rStyle w:val="FootnoteCharacters"/>
          <w:rStyle w:val="FootnoteReference"/>
        </w:rPr>
        <w:footnoteReference w:id="5"/>
      </w:r>
    </w:p>
    <w:p>
      <w:pPr>
        <w:pStyle w:val="Normal"/>
        <w:ind w:firstLine="720" w:start="0" w:end="0"/>
        <w:jc w:val="both"/>
        <w:rPr/>
      </w:pPr>
      <w:r>
        <w:rPr/>
      </w:r>
    </w:p>
    <w:p>
      <w:pPr>
        <w:pStyle w:val="Normal"/>
        <w:ind w:firstLine="720" w:start="0" w:end="0"/>
        <w:jc w:val="both"/>
        <w:rPr/>
      </w:pPr>
      <w:r>
        <w:rPr/>
        <w:t>Additionally, there are instances in which the law absolutely requires an agreement to be in writing.  In these instances, a signature is almost always required as well.  For example, pursuant to Texas’ (and other states’) statute of frauds, any contract for the sale of goods with a value of $500.00 or more must be in writing to be enforceable.  Similarly, contracts not to be performed within a year must be in writing, as must certain warranty waivers and indemnity agreements.</w:t>
      </w:r>
    </w:p>
    <w:p>
      <w:pPr>
        <w:pStyle w:val="Normal"/>
        <w:ind w:firstLine="720" w:start="0" w:end="0"/>
        <w:jc w:val="both"/>
        <w:rPr/>
      </w:pPr>
      <w:r>
        <w:rPr/>
      </w:r>
    </w:p>
    <w:p>
      <w:pPr>
        <w:pStyle w:val="Normal"/>
        <w:ind w:firstLine="720" w:start="0" w:end="0"/>
        <w:jc w:val="both"/>
        <w:rPr/>
      </w:pPr>
      <w:r>
        <w:rPr/>
        <w:t>Electronic signatures raise uncertainty not found with handwritten signatures.  Unlike  handwritten signatures, electronic signatures may lack ritualistic significance, and a trier of fact may be hesitant to find that a party fully comprehended the significance of clicking the “I accept” button in executing the on-line contract.  In other words, a trier of fact might conclude that the electronic signature fails to prove that the party intended to be bound to the transaction.  Ways to add ritualistic significance to electronic signatures include adding a statement that the person is typing their name with the intent that it act as their signature, requiring a potential customer to review the online agreement before entering into the transaction, and displaying a statement above each final transaction button indicating that the on-line agreement controls the transactions.</w:t>
      </w:r>
    </w:p>
    <w:p>
      <w:pPr>
        <w:pStyle w:val="Normal"/>
        <w:ind w:firstLine="720" w:start="0" w:end="0"/>
        <w:jc w:val="both"/>
        <w:rPr/>
      </w:pPr>
      <w:r>
        <w:rPr/>
      </w:r>
    </w:p>
    <w:p>
      <w:pPr>
        <w:pStyle w:val="Normal"/>
        <w:ind w:start="0" w:end="0"/>
        <w:jc w:val="both"/>
        <w:rPr>
          <w:b/>
        </w:rPr>
      </w:pPr>
      <w:r>
        <w:rPr>
          <w:b/>
        </w:rPr>
        <w:t>B.</w:t>
        <w:tab/>
        <w:t>The Proof Issue</w:t>
      </w:r>
    </w:p>
    <w:p>
      <w:pPr>
        <w:pStyle w:val="Normal"/>
        <w:ind w:firstLine="720" w:start="0" w:end="0"/>
        <w:jc w:val="both"/>
        <w:rPr>
          <w:b/>
        </w:rPr>
      </w:pPr>
      <w:r>
        <w:rPr>
          <w:b/>
        </w:rPr>
      </w:r>
    </w:p>
    <w:p>
      <w:pPr>
        <w:pStyle w:val="Normal"/>
        <w:ind w:firstLine="720" w:start="0" w:end="0"/>
        <w:jc w:val="both"/>
        <w:rPr/>
      </w:pPr>
      <w:r>
        <w:rPr/>
        <w:t>A party to a contract may be required to prove up, with sufficient certainty, the terms of its agreement with another party, as well as the other party’s intent to be bound to those terms.</w:t>
      </w:r>
      <w:r>
        <w:rPr>
          <w:rStyle w:val="FootnoteCharacters"/>
          <w:rStyle w:val="FootnoteReference"/>
        </w:rPr>
        <w:footnoteReference w:id="6"/>
      </w:r>
      <w:r>
        <w:rPr/>
        <w:t xml:space="preserve"> Part of this proof will turn on whatever electronic signature event a party has devised for its on-line contracts.  The electronic signature event should be designed to (1) indicate that the other party intended the event to be a signature; (2) demonstrate the other party’s awareness of the terms contained in the contract (by requiring the party to view the contract before allowing it to agree to the terms of the contract); and (3) positively tie the party to its electronic acceptance. </w:t>
      </w:r>
    </w:p>
    <w:p>
      <w:pPr>
        <w:pStyle w:val="BodyText"/>
        <w:jc w:val="both"/>
        <w:rPr/>
      </w:pPr>
      <w:r>
        <w:rPr/>
      </w:r>
    </w:p>
    <w:p>
      <w:pPr>
        <w:pStyle w:val="BodyText"/>
        <w:jc w:val="both"/>
        <w:rPr/>
      </w:pPr>
      <w:r>
        <w:rPr/>
      </w:r>
    </w:p>
    <w:p>
      <w:pPr>
        <w:pStyle w:val="BodyText"/>
        <w:jc w:val="both"/>
        <w:rPr>
          <w:b/>
        </w:rPr>
      </w:pPr>
      <w:r>
        <w:rPr>
          <w:b/>
        </w:rPr>
        <w:t>II.</w:t>
        <w:tab/>
        <w:t>Legislative Responses to the Need for Certainty in Electronic Contracts</w:t>
      </w:r>
    </w:p>
    <w:p>
      <w:pPr>
        <w:pStyle w:val="BodyText"/>
        <w:jc w:val="both"/>
        <w:rPr>
          <w:b/>
        </w:rPr>
      </w:pPr>
      <w:r>
        <w:rPr>
          <w:b/>
        </w:rPr>
      </w:r>
    </w:p>
    <w:p>
      <w:pPr>
        <w:pStyle w:val="BodyText"/>
        <w:jc w:val="both"/>
        <w:rPr>
          <w:b/>
        </w:rPr>
      </w:pPr>
      <w:r>
        <w:rPr>
          <w:b/>
        </w:rPr>
        <w:t>A.</w:t>
        <w:tab/>
        <w:t>Federal Law -- The Electronic Signatures in Global and National Commerce Act</w:t>
      </w:r>
    </w:p>
    <w:p>
      <w:pPr>
        <w:pStyle w:val="BodyText"/>
        <w:jc w:val="both"/>
        <w:rPr/>
      </w:pPr>
      <w:r>
        <w:rPr/>
      </w:r>
    </w:p>
    <w:p>
      <w:pPr>
        <w:pStyle w:val="BodyText"/>
        <w:jc w:val="both"/>
        <w:rPr/>
      </w:pPr>
      <w:r>
        <w:rPr/>
        <w:tab/>
      </w:r>
      <w:r>
        <w:rPr>
          <w:u w:val="single"/>
        </w:rPr>
        <w:t>Scope</w:t>
      </w:r>
      <w:r>
        <w:rPr/>
        <w:t xml:space="preserve">.  The Electronic Signatures in Global and National Commerce Act (the “Act”) was signed into law by President Clinton on June 30, 2000.  The purpose of the Act is to facilitate the use of electronic records and electronic signatures in interstate and foreign commerce. </w:t>
      </w:r>
    </w:p>
    <w:p>
      <w:pPr>
        <w:pStyle w:val="BodyText"/>
        <w:jc w:val="both"/>
        <w:rPr/>
      </w:pPr>
      <w:r>
        <w:rPr/>
      </w:r>
    </w:p>
    <w:p>
      <w:pPr>
        <w:pStyle w:val="BodyText"/>
        <w:ind w:firstLine="720" w:end="0"/>
        <w:jc w:val="both"/>
        <w:rPr/>
      </w:pPr>
      <w:r>
        <w:rPr/>
        <w:t>The Act applies only to transactions in or affecting interstate or foreign commerce.</w:t>
      </w:r>
      <w:r>
        <w:rPr>
          <w:rStyle w:val="FootnoteCharacters"/>
          <w:rStyle w:val="FootnoteReference"/>
        </w:rPr>
        <w:footnoteReference w:id="7"/>
      </w:r>
      <w:r>
        <w:rPr/>
        <w:t xml:space="preserve">  The key provision of the Act makes electronic signatures, contracts, and other records legally effective, valid and enforceable.</w:t>
      </w:r>
      <w:r>
        <w:rPr>
          <w:rStyle w:val="FootnoteCharacters"/>
          <w:rStyle w:val="FootnoteReference"/>
        </w:rPr>
        <w:footnoteReference w:id="8"/>
      </w:r>
      <w:r>
        <w:rPr/>
        <w:t xml:space="preserve">  The Act also provides that a contract may not be denied legal effect, validity, or enforceability solely because an electronic signature or record was used in its formation.</w:t>
      </w:r>
      <w:r>
        <w:rPr>
          <w:rStyle w:val="FootnoteCharacters"/>
          <w:rStyle w:val="FootnoteReference"/>
        </w:rPr>
        <w:footnoteReference w:id="9"/>
      </w:r>
      <w:r>
        <w:rPr/>
        <w:t xml:space="preserve">  Thus, if two parties in different states entered into an electronic transaction and all of the negotiations, terms and signatures occurred in electronic form, the resulting electronic contract, including the electronic terms and signatures, cannot be denied legal effect solely because it is electronic.  It is important to note that such a contract may be denied legal effect for other reasons, such as the failure to prove its terms.</w:t>
      </w:r>
    </w:p>
    <w:p>
      <w:pPr>
        <w:pStyle w:val="BodyText"/>
        <w:ind w:firstLine="720" w:end="0"/>
        <w:jc w:val="both"/>
        <w:rPr/>
      </w:pPr>
      <w:r>
        <w:rPr/>
      </w:r>
    </w:p>
    <w:p>
      <w:pPr>
        <w:pStyle w:val="BodyText"/>
        <w:ind w:firstLine="720" w:end="0"/>
        <w:jc w:val="both"/>
        <w:rPr/>
      </w:pPr>
      <w:r>
        <w:rPr/>
        <w:t>The Act defines electronic records as contracts or other records created, generated, sent, communicated, received, or stored using technology having electrical, digital, magnetic, wireless, optical, electromagnetic, or similar capabilities.</w:t>
      </w:r>
      <w:r>
        <w:rPr>
          <w:rStyle w:val="FootnoteCharacters"/>
          <w:rStyle w:val="FootnoteReference"/>
        </w:rPr>
        <w:footnoteReference w:id="10"/>
      </w:r>
      <w:r>
        <w:rPr/>
        <w:t xml:space="preserve">  Electronic signatures are defined as electronic sounds, symbols, or processes attached to or logically associated with contracts or other records and executed or adopted by persons with the intent to sign the records.</w:t>
      </w:r>
      <w:r>
        <w:rPr>
          <w:rStyle w:val="FootnoteCharacters"/>
          <w:rStyle w:val="FootnoteReference"/>
        </w:rPr>
        <w:footnoteReference w:id="11"/>
      </w:r>
      <w:r>
        <w:rPr/>
        <w:t xml:space="preserve">  Because of the requirement of intent in electronic signatures, it is important that the processes for electronically signing records and contracts contain mechanisms for evidencing the signatory’s intent, such as an “I Agree” button or other confirmatory language.</w:t>
      </w:r>
    </w:p>
    <w:p>
      <w:pPr>
        <w:pStyle w:val="BodyText"/>
        <w:jc w:val="both"/>
        <w:rPr/>
      </w:pPr>
      <w:r>
        <w:rPr/>
      </w:r>
    </w:p>
    <w:p>
      <w:pPr>
        <w:pStyle w:val="BodyText"/>
        <w:jc w:val="both"/>
        <w:rPr/>
      </w:pPr>
      <w:r>
        <w:rPr/>
        <w:tab/>
        <w:t xml:space="preserve">The Act provides special rules for consumer transactions in interstate and foreign commerce.  Most laws governing consumer transactions require that particular notices and information be provided to the consumer in writing.  Pursuant to the Act, an electronic record satisfies the writing requirements of consumer transactions laws if the following occur: </w:t>
      </w:r>
    </w:p>
    <w:p>
      <w:pPr>
        <w:pStyle w:val="BodyText"/>
        <w:jc w:val="both"/>
        <w:rPr/>
      </w:pPr>
      <w:r>
        <w:rPr/>
      </w:r>
    </w:p>
    <w:p>
      <w:pPr>
        <w:pStyle w:val="BodyText"/>
        <w:ind w:start="720" w:end="720"/>
        <w:jc w:val="both"/>
        <w:rPr/>
      </w:pPr>
      <w:r>
        <w:rPr/>
        <w:t>(a)</w:t>
        <w:tab/>
        <w:t>the consumer must consent to the use of electronic records for providing notices to the consumer;</w:t>
      </w:r>
    </w:p>
    <w:p>
      <w:pPr>
        <w:pStyle w:val="BodyText"/>
        <w:ind w:start="720" w:end="720"/>
        <w:jc w:val="both"/>
        <w:rPr/>
      </w:pPr>
      <w:r>
        <w:rPr/>
      </w:r>
    </w:p>
    <w:p>
      <w:pPr>
        <w:pStyle w:val="BodyText"/>
        <w:ind w:start="720" w:end="720"/>
        <w:jc w:val="both"/>
        <w:rPr/>
      </w:pPr>
      <w:r>
        <w:rPr/>
        <w:t>(b)</w:t>
        <w:tab/>
        <w:t>the consumer must be provided with a clear and conspicuous statement informing the consumer of the right to have the notices provided in paper form;</w:t>
      </w:r>
    </w:p>
    <w:p>
      <w:pPr>
        <w:pStyle w:val="BodyText"/>
        <w:ind w:start="720" w:end="720"/>
        <w:jc w:val="both"/>
        <w:rPr/>
      </w:pPr>
      <w:r>
        <w:rPr/>
      </w:r>
    </w:p>
    <w:p>
      <w:pPr>
        <w:pStyle w:val="BodyText"/>
        <w:ind w:start="720" w:end="720"/>
        <w:jc w:val="both"/>
        <w:rPr/>
      </w:pPr>
      <w:r>
        <w:rPr/>
        <w:t>(c)</w:t>
        <w:tab/>
        <w:t>the consumer must be notified of the procedures for withdrawing his or her consent to the use of electronic records for notices;</w:t>
      </w:r>
    </w:p>
    <w:p>
      <w:pPr>
        <w:pStyle w:val="BodyText"/>
        <w:ind w:start="720" w:end="720"/>
        <w:jc w:val="both"/>
        <w:rPr/>
      </w:pPr>
      <w:r>
        <w:rPr/>
      </w:r>
    </w:p>
    <w:p>
      <w:pPr>
        <w:pStyle w:val="BodyText"/>
        <w:ind w:start="720" w:end="720"/>
        <w:jc w:val="both"/>
        <w:rPr/>
      </w:pPr>
      <w:r>
        <w:rPr/>
        <w:t xml:space="preserve">(d) </w:t>
        <w:tab/>
        <w:t>prior to consenting to the use of electronic records for notices, the consumer must be provided with a statement of the hardware and software requirements for accessing the electronic records (and must be provided with a statement of any subsequent revisions to the hardware and software requirements) and the consumer must electronically confirm that he or she can access the electronic record.</w:t>
      </w:r>
      <w:r>
        <w:rPr>
          <w:rStyle w:val="FootnoteCharacters"/>
          <w:rStyle w:val="FootnoteReference"/>
        </w:rPr>
        <w:footnoteReference w:id="12"/>
      </w:r>
    </w:p>
    <w:p>
      <w:pPr>
        <w:pStyle w:val="BodyText"/>
        <w:jc w:val="both"/>
        <w:rPr/>
      </w:pPr>
      <w:r>
        <w:rPr/>
      </w:r>
    </w:p>
    <w:p>
      <w:pPr>
        <w:pStyle w:val="BodyText"/>
        <w:jc w:val="both"/>
        <w:rPr/>
      </w:pPr>
      <w:r>
        <w:rPr/>
        <w:t>The legal effectiveness, validity, or enforceability of a contract executed by a consumer will not be denied solely because of the failure to obtain electronic confirmation as described in (d) above.</w:t>
      </w:r>
      <w:r>
        <w:rPr>
          <w:rStyle w:val="FootnoteCharacters"/>
          <w:rStyle w:val="FootnoteReference"/>
        </w:rPr>
        <w:footnoteReference w:id="13"/>
      </w:r>
      <w:r>
        <w:rPr/>
        <w:t xml:space="preserve">  Oral communications or recordings of oral communications do not qualify as electronic records for purposes of the consumer protection provisions of the Act except as otherwise provided under applicable law.</w:t>
      </w:r>
      <w:r>
        <w:rPr>
          <w:rStyle w:val="FootnoteCharacters"/>
          <w:rStyle w:val="FootnoteReference"/>
        </w:rPr>
        <w:footnoteReference w:id="14"/>
      </w:r>
    </w:p>
    <w:p>
      <w:pPr>
        <w:pStyle w:val="BodyText"/>
        <w:jc w:val="both"/>
        <w:rPr/>
      </w:pPr>
      <w:r>
        <w:rPr/>
      </w:r>
    </w:p>
    <w:p>
      <w:pPr>
        <w:pStyle w:val="BodyText"/>
        <w:ind w:firstLine="720" w:end="0"/>
        <w:jc w:val="both"/>
        <w:rPr/>
      </w:pPr>
      <w:r>
        <w:rPr/>
        <w:t>In addition to the electronic contract and signature provisions described above, the Act contains provisions governing notes that relate to loans secured by real property.  The Act provides that such notes may be in electronic form and also provides conditions for establishing control of such notes to determine the status of a person as a holder (person with possession and control of the note).</w:t>
      </w:r>
      <w:r>
        <w:rPr>
          <w:rStyle w:val="FootnoteCharacters"/>
          <w:rStyle w:val="FootnoteReference"/>
        </w:rPr>
        <w:footnoteReference w:id="15"/>
      </w:r>
      <w:r>
        <w:rPr/>
        <w:t xml:space="preserve">  This portion of the Act becomes effective September 28, 2000.</w:t>
      </w:r>
    </w:p>
    <w:p>
      <w:pPr>
        <w:pStyle w:val="BodyText"/>
        <w:jc w:val="both"/>
        <w:rPr/>
      </w:pPr>
      <w:r>
        <w:rPr/>
      </w:r>
    </w:p>
    <w:p>
      <w:pPr>
        <w:pStyle w:val="BodyText"/>
        <w:ind w:firstLine="720" w:end="0"/>
        <w:jc w:val="both"/>
        <w:rPr/>
      </w:pPr>
      <w:r>
        <w:rPr/>
        <w:t>The Act also contains provisions governing retention of electronic contracts and records, electronic notarization and acknowledgment, the use of electronic agents for automated actions and responses, and the Act’s applicability to the business of insurance.</w:t>
      </w:r>
      <w:r>
        <w:rPr>
          <w:rStyle w:val="FootnoteCharacters"/>
          <w:rStyle w:val="FootnoteReference"/>
        </w:rPr>
        <w:footnoteReference w:id="16"/>
      </w:r>
      <w:r>
        <w:rPr/>
        <w:t xml:space="preserve">  </w:t>
      </w:r>
    </w:p>
    <w:p>
      <w:pPr>
        <w:pStyle w:val="BodyText"/>
        <w:jc w:val="both"/>
        <w:rPr/>
      </w:pPr>
      <w:r>
        <w:rPr/>
      </w:r>
    </w:p>
    <w:p>
      <w:pPr>
        <w:pStyle w:val="BodyText"/>
        <w:ind w:firstLine="720" w:end="0"/>
        <w:jc w:val="both"/>
        <w:rPr/>
      </w:pPr>
      <w:r>
        <w:rPr>
          <w:u w:val="single"/>
        </w:rPr>
        <w:t>State Law Preemption</w:t>
      </w:r>
      <w:r>
        <w:rPr/>
        <w:t>.  A state statute, regulation, or other rule of law may modify, limit or supersede the provisions of the Act only if such statute, regulation, or rule of law (a) constitutes an enactment or adoption of the Uniform Electronic Transactions Act, or (b) is consistent with the Act and if enacted or adopted after the date of enactment of the Act, makes specific reference to the Act.</w:t>
      </w:r>
      <w:r>
        <w:rPr>
          <w:rStyle w:val="FootnoteCharacters"/>
          <w:rStyle w:val="FootnoteReference"/>
        </w:rPr>
        <w:footnoteReference w:id="17"/>
      </w:r>
      <w:r>
        <w:rPr/>
        <w:t xml:space="preserve">  </w:t>
      </w:r>
    </w:p>
    <w:p>
      <w:pPr>
        <w:pStyle w:val="BodyText"/>
        <w:ind w:start="720" w:end="720"/>
        <w:jc w:val="both"/>
        <w:rPr/>
      </w:pPr>
      <w:r>
        <w:rPr/>
      </w:r>
    </w:p>
    <w:p>
      <w:pPr>
        <w:pStyle w:val="BodyText"/>
        <w:ind w:firstLine="720" w:end="0"/>
        <w:jc w:val="both"/>
        <w:rPr/>
      </w:pPr>
      <w:r>
        <w:rPr>
          <w:u w:val="single"/>
        </w:rPr>
        <w:t>Exceptions</w:t>
      </w:r>
      <w:r>
        <w:rPr/>
        <w:t>.  Certain types of records and documents are excepted from the Act’s coverage; therefore, electronic versions of such records and documents will not be made valid and enforceable by the Act.  Laws applicable to those records and documents will govern whether electronic versions are valid and enforceable.  The list of items specifically excepted from the coverage of the Act includes:  (a) wills, codicils, and testamentary trust documents; (b) documents pertaining to adoptions, divorces, or other matters of family law;</w:t>
      </w:r>
      <w:r>
        <w:rPr>
          <w:rStyle w:val="FootnoteCharacters"/>
          <w:rStyle w:val="FootnoteReference"/>
        </w:rPr>
        <w:footnoteReference w:id="18"/>
      </w:r>
      <w:r>
        <w:rPr/>
        <w:t xml:space="preserve"> (c) court orders, notices, or official court documents; (d) notices of cancellation or termination of utility services; (e) notices of default, acceleration, repossession, foreclosure, or eviction, or the right to cure, under a credit agreement secured by, or a rental agreement for, an individual’s primary residence; (f) notices of the cancellation or termination of health insurance or life insurance benefits; (g) notices of recalls of products, or material failures of products, that risk endangering health or safety; and (h) any document required to accompany the transportation or handling of hazardous materials, pesticides, or other toxic or dangerous materials.</w:t>
      </w:r>
      <w:r>
        <w:rPr>
          <w:rStyle w:val="FootnoteCharacters"/>
          <w:rStyle w:val="FootnoteReference"/>
        </w:rPr>
        <w:footnoteReference w:id="19"/>
      </w:r>
    </w:p>
    <w:p>
      <w:pPr>
        <w:pStyle w:val="BodyText"/>
        <w:ind w:firstLine="720" w:end="0"/>
        <w:jc w:val="both"/>
        <w:rPr/>
      </w:pPr>
      <w:r>
        <w:rPr/>
      </w:r>
    </w:p>
    <w:p>
      <w:pPr>
        <w:pStyle w:val="BodyText"/>
        <w:ind w:firstLine="720" w:end="0"/>
        <w:jc w:val="both"/>
        <w:rPr/>
      </w:pPr>
      <w:r>
        <w:rPr/>
        <w:t>Additionally, the Act excepts from its coverage contracts and records to the extent they are governed by the Uniform Commercial Code (“UCC”), as in effect in any State, except that contracts and records governed by UCC Section 1-107 (concerning written waivers of claims of right after breach), Section 1-206 (statute of frauds) and Articles 2 (sales) and 2A (leases) are covered by the Act.</w:t>
      </w:r>
      <w:r>
        <w:rPr>
          <w:rStyle w:val="FootnoteCharacters"/>
          <w:rStyle w:val="FootnoteReference"/>
        </w:rPr>
        <w:footnoteReference w:id="20"/>
      </w:r>
      <w:r>
        <w:rPr/>
        <w:t xml:space="preserve">  This means that electronic contracts and records relating to sales and leases of goods in interstate or foreign commerce, provided that they meet the requirements of Article 2 or 2A, would be valid and enforceable pursuant to the Act.  On the other hand, an electronic contract involving the secured financing of a good would not be valid and enforceable pursuant to the Act because the Act excepts UCC Article 9 transactions from its coverage.  However, the version of UCC Article 9 adopted by a particular state may contain provisions making electronic contracts for the creation of security interests valid and enforceable.  For an example of such a state law, see the section below on Texas’ UCC Chapter 9.</w:t>
      </w:r>
    </w:p>
    <w:p>
      <w:pPr>
        <w:pStyle w:val="BodyText"/>
        <w:ind w:firstLine="720" w:end="0"/>
        <w:jc w:val="both"/>
        <w:rPr/>
      </w:pPr>
      <w:r>
        <w:rPr/>
      </w:r>
    </w:p>
    <w:p>
      <w:pPr>
        <w:pStyle w:val="BodyText"/>
        <w:ind w:firstLine="720" w:end="0"/>
        <w:jc w:val="both"/>
        <w:rPr/>
      </w:pPr>
      <w:r>
        <w:rPr>
          <w:u w:val="single"/>
        </w:rPr>
        <w:t>Effective Date</w:t>
      </w:r>
      <w:r>
        <w:rPr/>
        <w:t>. The provisions of the Act discussed above, except for those relating to real estate related notes, become effective October 1, 2000 (with other exceptions for record retention, federally guaranteed or insured loans and student loans).</w:t>
      </w:r>
      <w:r>
        <w:rPr>
          <w:rStyle w:val="FootnoteCharacters"/>
          <w:rStyle w:val="FootnoteReference"/>
        </w:rPr>
        <w:footnoteReference w:id="21"/>
      </w:r>
    </w:p>
    <w:p>
      <w:pPr>
        <w:pStyle w:val="BodyText"/>
        <w:jc w:val="both"/>
        <w:rPr>
          <w:b/>
        </w:rPr>
      </w:pPr>
      <w:r>
        <w:rPr>
          <w:b/>
        </w:rPr>
      </w:r>
    </w:p>
    <w:p>
      <w:pPr>
        <w:pStyle w:val="BodyText"/>
        <w:jc w:val="both"/>
        <w:rPr>
          <w:b/>
        </w:rPr>
      </w:pPr>
      <w:r>
        <w:rPr>
          <w:b/>
        </w:rPr>
        <w:t>B.</w:t>
        <w:tab/>
        <w:t>Texas Law</w:t>
      </w:r>
    </w:p>
    <w:p>
      <w:pPr>
        <w:pStyle w:val="BodyText"/>
        <w:ind w:firstLine="720" w:end="0"/>
        <w:jc w:val="both"/>
        <w:rPr>
          <w:b/>
        </w:rPr>
      </w:pPr>
      <w:r>
        <w:rPr>
          <w:b/>
        </w:rPr>
      </w:r>
    </w:p>
    <w:p>
      <w:pPr>
        <w:pStyle w:val="BodyText"/>
        <w:ind w:firstLine="720" w:end="0"/>
        <w:jc w:val="both"/>
        <w:rPr>
          <w:b/>
        </w:rPr>
      </w:pPr>
      <w:r>
        <w:rPr>
          <w:b/>
        </w:rPr>
        <w:t>1.</w:t>
        <w:tab/>
        <w:t>Texas Business and Commerce Code – Chapter 2 – Sales</w:t>
      </w:r>
    </w:p>
    <w:p>
      <w:pPr>
        <w:pStyle w:val="BodyText"/>
        <w:jc w:val="both"/>
        <w:rPr/>
      </w:pPr>
      <w:r>
        <w:rPr/>
      </w:r>
    </w:p>
    <w:p>
      <w:pPr>
        <w:pStyle w:val="BodyText"/>
        <w:ind w:firstLine="1440" w:end="0"/>
        <w:jc w:val="both"/>
        <w:rPr/>
      </w:pPr>
      <w:r>
        <w:rPr>
          <w:u w:val="single"/>
        </w:rPr>
        <w:t>Scope</w:t>
      </w:r>
      <w:r>
        <w:rPr/>
        <w:t>.  Chapter 2 of the Texas UCC contains a provision recognizing digital signatures in electronic transactions.  A contract for the sale of goods for the price of $500 or more is not enforceable unless there is a written agreement signed by the party against whom enforcement of the contract is sought.</w:t>
      </w:r>
      <w:r>
        <w:rPr>
          <w:rStyle w:val="FootnoteCharacters"/>
          <w:rStyle w:val="FootnoteReference"/>
        </w:rPr>
        <w:footnoteReference w:id="22"/>
      </w:r>
      <w:r>
        <w:rPr/>
        <w:t xml:space="preserve"> Section 2.108 provides that an electronic communication sent from within or received in this state in connection with a contract for the sale of goods is considered signed if a digital signature is transmitted with the communication.</w:t>
      </w:r>
      <w:r>
        <w:rPr>
          <w:rStyle w:val="FootnoteCharacters"/>
          <w:rStyle w:val="FootnoteReference"/>
        </w:rPr>
        <w:footnoteReference w:id="23"/>
      </w:r>
      <w:r>
        <w:rPr/>
        <w:t xml:space="preserve">  A “digital signature” is defined as an electronic identifier intended by the person using it to have the same force and effect as the use of a manual signature.</w:t>
      </w:r>
      <w:r>
        <w:rPr>
          <w:rStyle w:val="FootnoteCharacters"/>
          <w:rStyle w:val="FootnoteReference"/>
        </w:rPr>
        <w:footnoteReference w:id="24"/>
      </w:r>
      <w:r>
        <w:rPr/>
        <w:t xml:space="preserve">  Thus, for example, an electronic contract for the sale of natural gas that is signed by each party though the use of digital signatures would be enforceable against each party.</w:t>
      </w:r>
    </w:p>
    <w:p>
      <w:pPr>
        <w:pStyle w:val="BodyText"/>
        <w:ind w:firstLine="720" w:end="0"/>
        <w:jc w:val="both"/>
        <w:rPr/>
      </w:pPr>
      <w:r>
        <w:rPr/>
      </w:r>
    </w:p>
    <w:p>
      <w:pPr>
        <w:pStyle w:val="BodyText"/>
        <w:ind w:firstLine="1440" w:end="0"/>
        <w:jc w:val="both"/>
        <w:rPr/>
      </w:pPr>
      <w:r>
        <w:rPr>
          <w:u w:val="single"/>
        </w:rPr>
        <w:t>Effective Date</w:t>
      </w:r>
      <w:r>
        <w:rPr/>
        <w:t>.  Section 2.108 became effective September 1, 1997.</w:t>
      </w:r>
    </w:p>
    <w:p>
      <w:pPr>
        <w:pStyle w:val="BodyText"/>
        <w:ind w:firstLine="720" w:end="0"/>
        <w:jc w:val="both"/>
        <w:rPr/>
      </w:pPr>
      <w:r>
        <w:rPr/>
      </w:r>
    </w:p>
    <w:p>
      <w:pPr>
        <w:pStyle w:val="BodyText"/>
        <w:keepNext w:val="true"/>
        <w:ind w:firstLine="720" w:end="0"/>
        <w:jc w:val="both"/>
        <w:rPr>
          <w:b/>
        </w:rPr>
      </w:pPr>
      <w:r>
        <w:rPr>
          <w:b/>
        </w:rPr>
        <w:t>2.</w:t>
        <w:tab/>
        <w:t>Texas Business and Commerce Code – Chapter 2A – Leases</w:t>
      </w:r>
    </w:p>
    <w:p>
      <w:pPr>
        <w:pStyle w:val="BodyText"/>
        <w:jc w:val="both"/>
        <w:rPr>
          <w:b/>
        </w:rPr>
      </w:pPr>
      <w:r>
        <w:rPr>
          <w:b/>
        </w:rPr>
      </w:r>
    </w:p>
    <w:p>
      <w:pPr>
        <w:pStyle w:val="BodyText"/>
        <w:ind w:firstLine="1440" w:end="0"/>
        <w:jc w:val="both"/>
        <w:rPr/>
      </w:pPr>
      <w:r>
        <w:rPr>
          <w:u w:val="single"/>
        </w:rPr>
        <w:t>Scope</w:t>
      </w:r>
      <w:r>
        <w:rPr/>
        <w:t>.  This chapter of the Texas UCC applies to any transaction, regardless of form, that creates a lease of goods.</w:t>
      </w:r>
      <w:r>
        <w:rPr>
          <w:rStyle w:val="FootnoteCharacters"/>
          <w:rStyle w:val="FootnoteReference"/>
        </w:rPr>
        <w:footnoteReference w:id="25"/>
      </w:r>
      <w:r>
        <w:rPr/>
        <w:t xml:space="preserve">  Section 2A.110 contains the same provision described above providing that an electronic communication sent from within or received in this state in connection with a transaction creating a lease of goods is considered signed if a digital signature is transmitted with the communication.”</w:t>
      </w:r>
      <w:r>
        <w:rPr>
          <w:rStyle w:val="FootnoteCharacters"/>
          <w:rStyle w:val="FootnoteReference"/>
        </w:rPr>
        <w:footnoteReference w:id="26"/>
      </w:r>
      <w:r>
        <w:rPr/>
        <w:t xml:space="preserve">  A “digital signature” is defined as an electronic identifier intended by the person using it to have the same force and effect as the use of a manual signature.</w:t>
      </w:r>
      <w:r>
        <w:rPr>
          <w:rStyle w:val="FootnoteCharacters"/>
          <w:rStyle w:val="FootnoteReference"/>
        </w:rPr>
        <w:footnoteReference w:id="27"/>
      </w:r>
      <w:r>
        <w:rPr/>
        <w:t xml:space="preserve">  For example, an electronic communication creating a lease in equipment would be enforceable against the parties if the parties signed the electronic communication using digital signatures.</w:t>
      </w:r>
    </w:p>
    <w:p>
      <w:pPr>
        <w:pStyle w:val="BodyText"/>
        <w:ind w:firstLine="720" w:end="0"/>
        <w:jc w:val="both"/>
        <w:rPr/>
      </w:pPr>
      <w:r>
        <w:rPr/>
      </w:r>
    </w:p>
    <w:p>
      <w:pPr>
        <w:pStyle w:val="BodyText"/>
        <w:ind w:firstLine="1440" w:end="0"/>
        <w:jc w:val="both"/>
        <w:rPr/>
      </w:pPr>
      <w:r>
        <w:rPr>
          <w:u w:val="single"/>
        </w:rPr>
        <w:t>Effective Date</w:t>
      </w:r>
      <w:r>
        <w:rPr/>
        <w:t>.  Section 2A.110 became effective August 30, 1999.</w:t>
      </w:r>
    </w:p>
    <w:p>
      <w:pPr>
        <w:pStyle w:val="BodyText"/>
        <w:jc w:val="both"/>
        <w:rPr>
          <w:b/>
        </w:rPr>
      </w:pPr>
      <w:r>
        <w:rPr>
          <w:b/>
        </w:rPr>
      </w:r>
    </w:p>
    <w:p>
      <w:pPr>
        <w:pStyle w:val="BodyText"/>
        <w:ind w:firstLine="720" w:end="0"/>
        <w:jc w:val="both"/>
        <w:rPr>
          <w:b/>
        </w:rPr>
      </w:pPr>
      <w:r>
        <w:rPr>
          <w:b/>
        </w:rPr>
        <w:t>3.</w:t>
        <w:tab/>
        <w:t>Texas Business and Commerce Code – Chapter 9 – Secured Transactions</w:t>
      </w:r>
    </w:p>
    <w:p>
      <w:pPr>
        <w:pStyle w:val="BodyText"/>
        <w:jc w:val="both"/>
        <w:rPr>
          <w:b/>
        </w:rPr>
      </w:pPr>
      <w:r>
        <w:rPr>
          <w:b/>
        </w:rPr>
      </w:r>
    </w:p>
    <w:p>
      <w:pPr>
        <w:pStyle w:val="BodyText"/>
        <w:ind w:firstLine="1440" w:end="0"/>
        <w:jc w:val="both"/>
        <w:rPr/>
      </w:pPr>
      <w:r>
        <w:rPr>
          <w:u w:val="single"/>
        </w:rPr>
        <w:t>Scope</w:t>
      </w:r>
      <w:r>
        <w:rPr/>
        <w:t>.  Chapter 9 of the Texas UCC applies to financing transactions involving security interests in goods, documents, instruments, general intangibles, chattel paper or accounts, and also to sales of accounts and chattel paper.</w:t>
      </w:r>
      <w:r>
        <w:rPr>
          <w:rStyle w:val="FootnoteCharacters"/>
          <w:rStyle w:val="FootnoteReference"/>
        </w:rPr>
        <w:footnoteReference w:id="28"/>
      </w:r>
      <w:r>
        <w:rPr/>
        <w:t xml:space="preserve">  A security interest is created by a security agreement.</w:t>
      </w:r>
      <w:r>
        <w:rPr>
          <w:rStyle w:val="FootnoteCharacters"/>
          <w:rStyle w:val="FootnoteReference"/>
        </w:rPr>
        <w:footnoteReference w:id="29"/>
      </w:r>
      <w:r>
        <w:rPr/>
        <w:t xml:space="preserve">  If the collateral is not in the possession or control of the secured party, a security interest is not enforceable against a debtor unless the debtor has signed the security agreement creating the security interest.</w:t>
      </w:r>
      <w:r>
        <w:rPr>
          <w:rStyle w:val="FootnoteCharacters"/>
          <w:rStyle w:val="FootnoteReference"/>
        </w:rPr>
        <w:footnoteReference w:id="30"/>
      </w:r>
      <w:r>
        <w:rPr/>
        <w:t xml:space="preserve"> Section 9.203(f) provides that an electronic communication sent from within or received in this state in connection with a transaction creating a security interest is considered signed if a digital signature is transmitted with the communication.</w:t>
      </w:r>
      <w:r>
        <w:rPr>
          <w:rStyle w:val="FootnoteCharacters"/>
          <w:rStyle w:val="FootnoteReference"/>
        </w:rPr>
        <w:footnoteReference w:id="31"/>
      </w:r>
      <w:r>
        <w:rPr/>
        <w:t xml:space="preserve">  A “digital signature” is defined as an electronic identifier intended by the person using it to have the same force and effect as the use of a manual signature.</w:t>
      </w:r>
      <w:r>
        <w:rPr>
          <w:rStyle w:val="FootnoteCharacters"/>
          <w:rStyle w:val="FootnoteReference"/>
        </w:rPr>
        <w:footnoteReference w:id="32"/>
      </w:r>
      <w:r>
        <w:rPr/>
        <w:t xml:space="preserve">  Pursuant to Section 9.203(f), a lender  financing the acquisition of certain business assets by a debtor could create an enforceable security interest in the acquired business assets with an electronic version of a security agreement which meets the requirements of Chapter 9 and which the debtor signed with a digital signature.</w:t>
      </w:r>
    </w:p>
    <w:p>
      <w:pPr>
        <w:pStyle w:val="BodyText"/>
        <w:ind w:firstLine="720" w:end="0"/>
        <w:jc w:val="both"/>
        <w:rPr/>
      </w:pPr>
      <w:r>
        <w:rPr/>
      </w:r>
    </w:p>
    <w:p>
      <w:pPr>
        <w:pStyle w:val="BodyText"/>
        <w:ind w:firstLine="1440" w:end="0"/>
        <w:jc w:val="both"/>
        <w:rPr/>
      </w:pPr>
      <w:r>
        <w:rPr>
          <w:u w:val="single"/>
        </w:rPr>
        <w:t>Effective Date</w:t>
      </w:r>
      <w:r>
        <w:rPr/>
        <w:t>. Section 9.203(f) became effective August 30, 1999.</w:t>
      </w:r>
    </w:p>
    <w:p>
      <w:pPr>
        <w:pStyle w:val="BodyText"/>
        <w:ind w:firstLine="720" w:end="0"/>
        <w:jc w:val="both"/>
        <w:rPr/>
      </w:pPr>
      <w:r>
        <w:rPr/>
      </w:r>
    </w:p>
    <w:p>
      <w:pPr>
        <w:pStyle w:val="BodyText"/>
        <w:ind w:firstLine="720" w:end="0"/>
        <w:jc w:val="both"/>
        <w:rPr>
          <w:b/>
        </w:rPr>
      </w:pPr>
      <w:r>
        <w:rPr>
          <w:b/>
        </w:rPr>
        <w:t>4.</w:t>
        <w:tab/>
        <w:t>Texas Business and Commerce Code – Law Applicable to Contract Made Over Internet</w:t>
      </w:r>
    </w:p>
    <w:p>
      <w:pPr>
        <w:pStyle w:val="BodyText"/>
        <w:jc w:val="both"/>
        <w:rPr>
          <w:b/>
        </w:rPr>
      </w:pPr>
      <w:r>
        <w:rPr>
          <w:b/>
        </w:rPr>
      </w:r>
    </w:p>
    <w:p>
      <w:pPr>
        <w:pStyle w:val="BodyText"/>
        <w:ind w:firstLine="1440" w:end="0"/>
        <w:jc w:val="both"/>
        <w:rPr/>
      </w:pPr>
      <w:r>
        <w:rPr>
          <w:u w:val="single"/>
        </w:rPr>
        <w:t>Scope</w:t>
      </w:r>
      <w:r>
        <w:rPr/>
        <w:t>.  Section 35.531 of the Texas Business and Commerce Code provides that Texas law governs a contract made solely over the Internet between a person located in Texas and a person located outside of Texas who does not maintain an office or agent in this state for doing business in this state.</w:t>
      </w:r>
      <w:r>
        <w:rPr>
          <w:rStyle w:val="FootnoteCharacters"/>
          <w:rStyle w:val="FootnoteReference"/>
        </w:rPr>
        <w:footnoteReference w:id="33"/>
      </w:r>
      <w:r>
        <w:rPr/>
        <w:t xml:space="preserve">  Texas law will not govern such a contract if each party to the contract who is located in this state (a) is given notice that the law of the state in which another party is located applies to the contract, and (b) agrees to the application of that state’s law.</w:t>
      </w:r>
      <w:r>
        <w:rPr>
          <w:rStyle w:val="FootnoteCharacters"/>
          <w:rStyle w:val="FootnoteReference"/>
        </w:rPr>
        <w:footnoteReference w:id="34"/>
      </w:r>
      <w:r>
        <w:rPr/>
        <w:t xml:space="preserve">  The person asserting that the law of another state applies to the contract has the burden of proving that the notice was given to the other party and agreement was obtained from that party.</w:t>
      </w:r>
      <w:r>
        <w:rPr>
          <w:rStyle w:val="FootnoteCharacters"/>
          <w:rStyle w:val="FootnoteReference"/>
        </w:rPr>
        <w:footnoteReference w:id="35"/>
      </w:r>
      <w:r>
        <w:rPr/>
        <w:t xml:space="preserve"> </w:t>
      </w:r>
    </w:p>
    <w:p>
      <w:pPr>
        <w:pStyle w:val="BodyText"/>
        <w:ind w:firstLine="720" w:end="0"/>
        <w:jc w:val="both"/>
        <w:rPr/>
      </w:pPr>
      <w:r>
        <w:rPr/>
      </w:r>
    </w:p>
    <w:p>
      <w:pPr>
        <w:pStyle w:val="BodyText"/>
        <w:ind w:firstLine="720" w:end="0"/>
        <w:jc w:val="both"/>
        <w:rPr/>
      </w:pPr>
      <w:r>
        <w:rPr/>
        <w:t>The above does not apply to contracts related to qualified transactions (which are transactions involving the payment, receipt, lending or borrowing of $1,000,000 or more).</w:t>
      </w:r>
      <w:r>
        <w:rPr>
          <w:rStyle w:val="FootnoteCharacters"/>
          <w:rStyle w:val="FootnoteReference"/>
        </w:rPr>
        <w:footnoteReference w:id="36"/>
      </w:r>
      <w:r>
        <w:rPr/>
        <w:t xml:space="preserve">  With some exceptions, the parties in such transactions may agree that the law of a jurisdiction other than the law of Texas governs the validity or enforceability of the contract if the transaction bears a reasonable relation to that jurisdiction, or that the law of another jurisdiction governs the interpretation or construction of a contract regardless of whether the transaction bears a reasonable relation to that jurisdiction.</w:t>
      </w:r>
      <w:r>
        <w:rPr>
          <w:rStyle w:val="FootnoteCharacters"/>
          <w:rStyle w:val="FootnoteReference"/>
        </w:rPr>
        <w:footnoteReference w:id="37"/>
      </w:r>
    </w:p>
    <w:p>
      <w:pPr>
        <w:pStyle w:val="BodyText"/>
        <w:ind w:firstLine="720" w:end="0"/>
        <w:jc w:val="both"/>
        <w:rPr/>
      </w:pPr>
      <w:r>
        <w:rPr/>
      </w:r>
    </w:p>
    <w:p>
      <w:pPr>
        <w:pStyle w:val="BodyText"/>
        <w:ind w:firstLine="1440" w:end="0"/>
        <w:jc w:val="both"/>
        <w:rPr/>
      </w:pPr>
      <w:r>
        <w:rPr>
          <w:u w:val="single"/>
        </w:rPr>
        <w:t>Effective Date</w:t>
      </w:r>
      <w:r>
        <w:rPr/>
        <w:t>.  Section 35.531 became effective September 1, 1999.</w:t>
      </w:r>
    </w:p>
    <w:p>
      <w:pPr>
        <w:pStyle w:val="BodyText"/>
        <w:jc w:val="both"/>
        <w:rPr>
          <w:b/>
        </w:rPr>
      </w:pPr>
      <w:r>
        <w:rPr>
          <w:b/>
        </w:rPr>
      </w:r>
    </w:p>
    <w:p>
      <w:pPr>
        <w:pStyle w:val="BodyText"/>
        <w:keepNext w:val="true"/>
        <w:keepLines/>
        <w:ind w:firstLine="720" w:end="0"/>
        <w:jc w:val="both"/>
        <w:rPr>
          <w:b/>
        </w:rPr>
      </w:pPr>
      <w:r>
        <w:rPr>
          <w:b/>
        </w:rPr>
        <w:t>5.</w:t>
        <w:tab/>
        <w:t>Texas Government Code</w:t>
      </w:r>
    </w:p>
    <w:p>
      <w:pPr>
        <w:pStyle w:val="BodyText"/>
        <w:keepNext w:val="true"/>
        <w:keepLines/>
        <w:jc w:val="both"/>
        <w:rPr/>
      </w:pPr>
      <w:r>
        <w:rPr/>
      </w:r>
    </w:p>
    <w:p>
      <w:pPr>
        <w:pStyle w:val="BodyText"/>
        <w:keepNext w:val="true"/>
        <w:keepLines/>
        <w:ind w:firstLine="1440" w:end="0"/>
        <w:jc w:val="both"/>
        <w:rPr/>
      </w:pPr>
      <w:r>
        <w:rPr/>
        <w:t>The Texas Government Code contains provisions governing the use of information resources technologies by state agencies and the retrieval by and exchange of information among the various agencies and branches of state government and the residents of Texas.</w:t>
      </w:r>
      <w:r>
        <w:rPr>
          <w:rStyle w:val="FootnoteCharacters"/>
          <w:rStyle w:val="FootnoteReference"/>
        </w:rPr>
        <w:footnoteReference w:id="38"/>
      </w:r>
      <w:r>
        <w:rPr/>
        <w:t xml:space="preserve">  The Department of Information Resources is developing rules and regulations for the establishment of a common electronic system using the Internet through which state agencies and local governments can electronically send documents to members of the public and to persons who are regulated by a state agency or local government, receive license and permit applications (with electronic signatures), and receive payments from members of the public and from persons who are regulated by a state agency or local government.</w:t>
      </w:r>
      <w:r>
        <w:rPr>
          <w:rStyle w:val="FootnoteCharacters"/>
          <w:rStyle w:val="FootnoteReference"/>
        </w:rPr>
        <w:footnoteReference w:id="39"/>
      </w:r>
      <w:r>
        <w:rPr/>
        <w:t xml:space="preserve"> </w:t>
      </w:r>
    </w:p>
    <w:p>
      <w:pPr>
        <w:pStyle w:val="BodyText"/>
        <w:jc w:val="both"/>
        <w:rPr>
          <w:b/>
        </w:rPr>
      </w:pPr>
      <w:r>
        <w:rPr>
          <w:b/>
        </w:rPr>
      </w:r>
    </w:p>
    <w:p>
      <w:pPr>
        <w:pStyle w:val="BodyText"/>
        <w:jc w:val="both"/>
        <w:rPr>
          <w:b/>
        </w:rPr>
      </w:pPr>
      <w:r>
        <w:rPr>
          <w:b/>
        </w:rPr>
        <w:t>C.</w:t>
        <w:tab/>
        <w:t>New York Law</w:t>
      </w:r>
    </w:p>
    <w:p>
      <w:pPr>
        <w:pStyle w:val="BodyText"/>
        <w:keepNext w:val="true"/>
        <w:keepLines/>
        <w:jc w:val="both"/>
        <w:rPr>
          <w:b/>
        </w:rPr>
      </w:pPr>
      <w:r>
        <w:rPr>
          <w:b/>
        </w:rPr>
      </w:r>
    </w:p>
    <w:p>
      <w:pPr>
        <w:pStyle w:val="BodyText"/>
        <w:keepNext w:val="true"/>
        <w:keepLines/>
        <w:ind w:firstLine="720" w:end="0"/>
        <w:jc w:val="both"/>
        <w:rPr>
          <w:b/>
        </w:rPr>
      </w:pPr>
      <w:r>
        <w:rPr>
          <w:b/>
        </w:rPr>
        <w:t>1.</w:t>
        <w:tab/>
        <w:t>New York Electronic Signatures and Records Act</w:t>
      </w:r>
    </w:p>
    <w:p>
      <w:pPr>
        <w:pStyle w:val="BodyText"/>
        <w:keepLines/>
        <w:jc w:val="both"/>
        <w:rPr/>
      </w:pPr>
      <w:r>
        <w:rPr/>
      </w:r>
    </w:p>
    <w:p>
      <w:pPr>
        <w:pStyle w:val="BodyText"/>
        <w:ind w:firstLine="1440" w:end="0"/>
        <w:jc w:val="both"/>
        <w:rPr/>
      </w:pPr>
      <w:r>
        <w:rPr>
          <w:u w:val="single"/>
        </w:rPr>
        <w:t>Scope</w:t>
      </w:r>
      <w:r>
        <w:rPr/>
        <w:t>.  The State of New York enacted the Electronic Signatures and Records Act (“ESRA”) in 1999.  The ESRA authorizes and empowers state agencies and local governments to produce, receive, accept, acquire, record, file, transmit, forward, and store information by use of electronic means.</w:t>
      </w:r>
      <w:r>
        <w:rPr>
          <w:rStyle w:val="FootnoteCharacters"/>
          <w:rStyle w:val="FootnoteReference"/>
        </w:rPr>
        <w:footnoteReference w:id="40"/>
      </w:r>
      <w:r>
        <w:rPr/>
        <w:t xml:space="preserve">  The State’s Office for Technology is appointed the electronic facilitator and is charged with, among other duties, developing guidelines for the improvement of business and commerce by electronic means.</w:t>
      </w:r>
      <w:r>
        <w:rPr>
          <w:rStyle w:val="FootnoteCharacters"/>
          <w:rStyle w:val="FootnoteReference"/>
        </w:rPr>
        <w:footnoteReference w:id="41"/>
      </w:r>
    </w:p>
    <w:p>
      <w:pPr>
        <w:pStyle w:val="BodyText"/>
        <w:ind w:firstLine="720" w:end="0"/>
        <w:jc w:val="both"/>
        <w:rPr/>
      </w:pPr>
      <w:r>
        <w:rPr/>
      </w:r>
    </w:p>
    <w:p>
      <w:pPr>
        <w:pStyle w:val="BodyText"/>
        <w:ind w:firstLine="1440" w:end="0"/>
        <w:jc w:val="both"/>
        <w:rPr/>
      </w:pPr>
      <w:r>
        <w:rPr/>
        <w:t>The ESRA defines an “electronic signature” as an electronic identifier, including without limitation, a digital signature, which is unique to a person, capable of verification, under the sole control of the person using it, attached to or associated with data in such a manner that authenticates the attachment of the signature to the data, and intended by the party using it to have the same force and effect as the use of a signature affixed by hand.</w:t>
      </w:r>
      <w:r>
        <w:rPr>
          <w:rStyle w:val="FootnoteCharacters"/>
          <w:rStyle w:val="FootnoteReference"/>
        </w:rPr>
        <w:footnoteReference w:id="42"/>
      </w:r>
      <w:r>
        <w:rPr/>
        <w:t xml:space="preserve">  The ESRA does not define “digital signature” as used in the foregoing definition.</w:t>
      </w:r>
    </w:p>
    <w:p>
      <w:pPr>
        <w:pStyle w:val="BodyText"/>
        <w:ind w:firstLine="720" w:end="0"/>
        <w:jc w:val="both"/>
        <w:rPr/>
      </w:pPr>
      <w:r>
        <w:rPr/>
      </w:r>
    </w:p>
    <w:p>
      <w:pPr>
        <w:pStyle w:val="BodyText"/>
        <w:ind w:firstLine="1440" w:end="0"/>
        <w:jc w:val="both"/>
        <w:rPr/>
      </w:pPr>
      <w:r>
        <w:rPr>
          <w:u w:val="single"/>
        </w:rPr>
        <w:t>Exceptions</w:t>
      </w:r>
      <w:r>
        <w:rPr/>
        <w:t xml:space="preserve">.  The following are excepted from the application of the ESRA:  (a) documents such as wills, trusts, powers of attorney, decisions consenting to orders not to resuscitate, and health care proxies; (b) negotiable instruments and documents of title, </w:t>
      </w:r>
      <w:r>
        <w:rPr>
          <w:u w:val="single"/>
        </w:rPr>
        <w:t>unless</w:t>
      </w:r>
      <w:r>
        <w:rPr/>
        <w:t xml:space="preserve"> an electronic version of such record is created, stored or transferred pursuant to the ESRA in a manner that allows for the existence of only one unique, identifiable and unalterable version; (c) any conveyance or other instrument recordable under the real property law; and (d) any other document that the electronic facilitator has specifically excepted.</w:t>
      </w:r>
      <w:r>
        <w:rPr>
          <w:rStyle w:val="FootnoteCharacters"/>
          <w:rStyle w:val="FootnoteReference"/>
        </w:rPr>
        <w:footnoteReference w:id="43"/>
      </w:r>
    </w:p>
    <w:p>
      <w:pPr>
        <w:pStyle w:val="BodyText"/>
        <w:ind w:firstLine="720" w:end="0"/>
        <w:jc w:val="both"/>
        <w:rPr/>
      </w:pPr>
      <w:r>
        <w:rPr/>
      </w:r>
    </w:p>
    <w:p>
      <w:pPr>
        <w:pStyle w:val="BodyText"/>
        <w:ind w:firstLine="1440" w:end="0"/>
        <w:jc w:val="both"/>
        <w:rPr/>
      </w:pPr>
      <w:r>
        <w:rPr>
          <w:u w:val="single"/>
        </w:rPr>
        <w:t>Effective Date</w:t>
      </w:r>
      <w:r>
        <w:rPr/>
        <w:t>.  The ESRA became effective March 26, 2000.</w:t>
      </w:r>
    </w:p>
    <w:p>
      <w:pPr>
        <w:pStyle w:val="BodyText"/>
        <w:jc w:val="both"/>
        <w:rPr>
          <w:b/>
        </w:rPr>
      </w:pPr>
      <w:r>
        <w:rPr>
          <w:b/>
        </w:rPr>
      </w:r>
    </w:p>
    <w:p>
      <w:pPr>
        <w:pStyle w:val="BodyText"/>
        <w:ind w:firstLine="720" w:end="0"/>
        <w:jc w:val="both"/>
        <w:rPr>
          <w:b/>
        </w:rPr>
      </w:pPr>
      <w:r>
        <w:rPr>
          <w:b/>
        </w:rPr>
        <w:t>2.</w:t>
        <w:tab/>
        <w:t>New York Regulations Promulgated under the Electronic Signatures and Records Act</w:t>
      </w:r>
    </w:p>
    <w:p>
      <w:pPr>
        <w:pStyle w:val="BodyText"/>
        <w:jc w:val="both"/>
        <w:rPr/>
      </w:pPr>
      <w:r>
        <w:rPr/>
      </w:r>
    </w:p>
    <w:p>
      <w:pPr>
        <w:pStyle w:val="BodyText"/>
        <w:ind w:firstLine="1440" w:end="0"/>
        <w:jc w:val="both"/>
        <w:rPr/>
      </w:pPr>
      <w:r>
        <w:rPr>
          <w:u w:val="single"/>
        </w:rPr>
        <w:t>Scope</w:t>
      </w:r>
      <w:r>
        <w:rPr/>
        <w:t>.  The regulations promulgated by the Office for Technology, as the electronic facilitator, establish standards and procedures for the use and authentication of electronic signatures and the use of electronic records in New York State.</w:t>
      </w:r>
      <w:r>
        <w:rPr>
          <w:rStyle w:val="FootnoteCharacters"/>
          <w:rStyle w:val="FootnoteReference"/>
        </w:rPr>
        <w:footnoteReference w:id="44"/>
      </w:r>
      <w:r>
        <w:rPr/>
        <w:t xml:space="preserve">  The standards and procedures (the “Standards”) apply to the use of electronic signatures and electronic records by citizens, the private sector, state agencies and local governments.</w:t>
      </w:r>
      <w:r>
        <w:rPr>
          <w:rStyle w:val="FootnoteCharacters"/>
          <w:rStyle w:val="FootnoteReference"/>
        </w:rPr>
        <w:footnoteReference w:id="45"/>
      </w:r>
      <w:r>
        <w:rPr/>
        <w:t xml:space="preserve">  An electronic signature is considered unique to the person using it if:</w:t>
      </w:r>
    </w:p>
    <w:p>
      <w:pPr>
        <w:pStyle w:val="BodyText"/>
        <w:ind w:firstLine="720" w:start="720" w:end="720"/>
        <w:jc w:val="both"/>
        <w:rPr/>
      </w:pPr>
      <w:r>
        <w:rPr/>
      </w:r>
    </w:p>
    <w:p>
      <w:pPr>
        <w:pStyle w:val="BodyText"/>
        <w:ind w:firstLine="720" w:start="720" w:end="720"/>
        <w:jc w:val="both"/>
        <w:rPr/>
      </w:pPr>
      <w:r>
        <w:rPr/>
        <w:t>(a)</w:t>
        <w:tab/>
        <w:t>the electronic signature cannot be duplicated as another person’s electronic signature;</w:t>
      </w:r>
    </w:p>
    <w:p>
      <w:pPr>
        <w:pStyle w:val="BodyText"/>
        <w:ind w:firstLine="720" w:start="720" w:end="720"/>
        <w:jc w:val="both"/>
        <w:rPr/>
      </w:pPr>
      <w:r>
        <w:rPr/>
      </w:r>
    </w:p>
    <w:p>
      <w:pPr>
        <w:pStyle w:val="BodyText"/>
        <w:ind w:firstLine="720" w:start="720" w:end="720"/>
        <w:jc w:val="both"/>
        <w:rPr/>
      </w:pPr>
      <w:r>
        <w:rPr/>
        <w:t>(b)</w:t>
        <w:tab/>
        <w:t>the unique identifying information used to create the electronic signature is capable of being generated only for the electronic signatory; and</w:t>
      </w:r>
    </w:p>
    <w:p>
      <w:pPr>
        <w:pStyle w:val="BodyText"/>
        <w:ind w:firstLine="720" w:start="720" w:end="720"/>
        <w:jc w:val="both"/>
        <w:rPr/>
      </w:pPr>
      <w:r>
        <w:rPr/>
      </w:r>
    </w:p>
    <w:p>
      <w:pPr>
        <w:pStyle w:val="BodyText"/>
        <w:ind w:firstLine="720" w:start="720" w:end="720"/>
        <w:jc w:val="both"/>
        <w:rPr/>
      </w:pPr>
      <w:r>
        <w:rPr/>
        <w:t>(c)</w:t>
        <w:tab/>
        <w:t>it is computationally infeasible, at the time the electronic signature is made, to derive the original unique identifying information from information used to authenticate the electronic signature.</w:t>
      </w:r>
      <w:r>
        <w:rPr>
          <w:rStyle w:val="FootnoteCharacters"/>
          <w:rStyle w:val="FootnoteReference"/>
        </w:rPr>
        <w:footnoteReference w:id="46"/>
      </w:r>
    </w:p>
    <w:p>
      <w:pPr>
        <w:pStyle w:val="BodyText"/>
        <w:ind w:firstLine="720" w:start="720" w:end="720"/>
        <w:jc w:val="both"/>
        <w:rPr/>
      </w:pPr>
      <w:r>
        <w:rPr/>
      </w:r>
    </w:p>
    <w:p>
      <w:pPr>
        <w:pStyle w:val="BodyText"/>
        <w:ind w:firstLine="1440" w:end="0"/>
        <w:jc w:val="both"/>
        <w:rPr/>
      </w:pPr>
      <w:r>
        <w:rPr/>
        <w:t>In order for an electronic signature to be under the sole control of the person using it, the electronic signatory must assume a duty to exercise reasonable care to retain control of the unique identifying information so that the electronic signature is used only with that person’s intent and knowledge.</w:t>
      </w:r>
      <w:r>
        <w:rPr>
          <w:rStyle w:val="FootnoteCharacters"/>
          <w:rStyle w:val="FootnoteReference"/>
        </w:rPr>
        <w:footnoteReference w:id="47"/>
      </w:r>
      <w:r>
        <w:rPr/>
        <w:t xml:space="preserve">  An electronic signature is considered to be attached to data in such a manner that authenticates the attachment of the electronic signature to the data when the electronic signature is linked to the data during transmission and in storage, and when the data is changed or the signature is disassociated from the data, such action is readily apparent to the parties.</w:t>
      </w:r>
      <w:r>
        <w:rPr>
          <w:rStyle w:val="FootnoteCharacters"/>
          <w:rStyle w:val="FootnoteReference"/>
        </w:rPr>
        <w:footnoteReference w:id="48"/>
      </w:r>
    </w:p>
    <w:p>
      <w:pPr>
        <w:pStyle w:val="BodyText"/>
        <w:ind w:firstLine="720" w:end="0"/>
        <w:jc w:val="both"/>
        <w:rPr/>
      </w:pPr>
      <w:r>
        <w:rPr/>
      </w:r>
    </w:p>
    <w:p>
      <w:pPr>
        <w:pStyle w:val="BodyText"/>
        <w:ind w:firstLine="1440" w:end="0"/>
        <w:jc w:val="both"/>
        <w:rPr/>
      </w:pPr>
      <w:r>
        <w:rPr/>
        <w:t>The Standards also provide for the use of certificate authorities in the authentication of electronic signatures.  A “certificate authority” is a trusted party or government entity that vouches for the authenticity of the individual or system in question by issuing certificates (certain encrypted data structures) that are used for verification of electronic signatures.</w:t>
      </w:r>
      <w:r>
        <w:rPr>
          <w:rStyle w:val="FootnoteCharacters"/>
          <w:rStyle w:val="FootnoteReference"/>
        </w:rPr>
        <w:footnoteReference w:id="49"/>
      </w:r>
      <w:r>
        <w:rPr/>
        <w:t xml:space="preserve">  A certificate authority must maintain a statement of its procedures and practices and such statement must recite the certificate authority’s statutory obligation to maintain the confidentiality of personal information.</w:t>
      </w:r>
      <w:r>
        <w:rPr>
          <w:rStyle w:val="FootnoteCharacters"/>
          <w:rStyle w:val="FootnoteReference"/>
        </w:rPr>
        <w:footnoteReference w:id="50"/>
      </w:r>
      <w:r>
        <w:rPr/>
        <w:t xml:space="preserve">  This statement must be made available to any person who requests it.</w:t>
      </w:r>
    </w:p>
    <w:p>
      <w:pPr>
        <w:pStyle w:val="BodyText"/>
        <w:ind w:firstLine="720" w:end="0"/>
        <w:jc w:val="both"/>
        <w:rPr/>
      </w:pPr>
      <w:r>
        <w:rPr/>
      </w:r>
    </w:p>
    <w:p>
      <w:pPr>
        <w:pStyle w:val="BodyText"/>
        <w:ind w:firstLine="1440" w:end="0"/>
        <w:jc w:val="both"/>
        <w:rPr/>
      </w:pPr>
      <w:r>
        <w:rPr/>
        <w:t>Additional standards and operating practices are provided for certificate authorities doing business with government entities.  These standards include the provision and maintenance by the certificate authority of a certification practice statement describing the types of entities certified, the policies used to bind a cryptographic key to an individual, how keys and systems are managed and secured, the liabilities and obligations of the parties, and the type and frequency of internal and external audits performed by a certified public accounting firm.</w:t>
      </w:r>
      <w:r>
        <w:rPr>
          <w:rStyle w:val="FootnoteCharacters"/>
          <w:rStyle w:val="FootnoteReference"/>
        </w:rPr>
        <w:footnoteReference w:id="51"/>
      </w:r>
    </w:p>
    <w:p>
      <w:pPr>
        <w:pStyle w:val="BodyText"/>
        <w:ind w:firstLine="720" w:end="0"/>
        <w:jc w:val="both"/>
        <w:rPr/>
      </w:pPr>
      <w:r>
        <w:rPr/>
      </w:r>
    </w:p>
    <w:p>
      <w:pPr>
        <w:pStyle w:val="BodyText"/>
        <w:ind w:firstLine="1440" w:end="0"/>
        <w:jc w:val="both"/>
        <w:rPr/>
      </w:pPr>
      <w:r>
        <w:rPr>
          <w:u w:val="single"/>
        </w:rPr>
        <w:t>Effective Date</w:t>
      </w:r>
      <w:r>
        <w:rPr/>
        <w:t>.  The Standards became effective June 15, 2000.</w:t>
      </w:r>
    </w:p>
    <w:p>
      <w:pPr>
        <w:pStyle w:val="BodyText"/>
        <w:ind w:firstLine="720" w:end="0"/>
        <w:jc w:val="both"/>
        <w:rPr/>
      </w:pPr>
      <w:r>
        <w:rPr/>
      </w:r>
    </w:p>
    <w:p>
      <w:pPr>
        <w:pStyle w:val="BodyText"/>
        <w:jc w:val="both"/>
        <w:rPr>
          <w:b/>
        </w:rPr>
      </w:pPr>
      <w:r>
        <w:rPr>
          <w:b/>
        </w:rPr>
        <w:t>D.</w:t>
        <w:tab/>
        <w:t>Delaware Law</w:t>
      </w:r>
    </w:p>
    <w:p>
      <w:pPr>
        <w:pStyle w:val="BodyText"/>
        <w:keepNext w:val="true"/>
        <w:keepLines/>
        <w:jc w:val="both"/>
        <w:rPr>
          <w:b/>
        </w:rPr>
      </w:pPr>
      <w:r>
        <w:rPr>
          <w:b/>
        </w:rPr>
      </w:r>
    </w:p>
    <w:p>
      <w:pPr>
        <w:pStyle w:val="BodyText"/>
        <w:keepNext w:val="true"/>
        <w:keepLines/>
        <w:ind w:firstLine="720" w:end="0"/>
        <w:jc w:val="both"/>
        <w:rPr>
          <w:b/>
        </w:rPr>
      </w:pPr>
      <w:r>
        <w:rPr>
          <w:b/>
        </w:rPr>
        <w:t>1.</w:t>
        <w:tab/>
        <w:t>Delaware Uniform Electronic Transactions Act</w:t>
      </w:r>
    </w:p>
    <w:p>
      <w:pPr>
        <w:pStyle w:val="BodyText"/>
        <w:keepNext w:val="true"/>
        <w:keepLines/>
        <w:jc w:val="both"/>
        <w:rPr/>
      </w:pPr>
      <w:r>
        <w:rPr/>
      </w:r>
    </w:p>
    <w:p>
      <w:pPr>
        <w:pStyle w:val="BodyText"/>
        <w:keepNext w:val="true"/>
        <w:keepLines/>
        <w:ind w:firstLine="1440" w:end="0"/>
        <w:jc w:val="both"/>
        <w:rPr/>
      </w:pPr>
      <w:r>
        <w:rPr>
          <w:u w:val="single"/>
        </w:rPr>
        <w:t>Scope</w:t>
      </w:r>
      <w:r>
        <w:rPr/>
        <w:t>.  Delaware adopted the Uniform Electronic Transactions Act (“Delaware’s UETA”) on July 14, 2000.</w:t>
      </w:r>
      <w:r>
        <w:rPr>
          <w:rStyle w:val="FootnoteCharacters"/>
          <w:rStyle w:val="FootnoteReference"/>
        </w:rPr>
        <w:footnoteReference w:id="52"/>
      </w:r>
      <w:r>
        <w:rPr/>
        <w:t xml:space="preserve">  Except as provided below, the substantive provisions of Delaware’s UETA are as described in the “Uniform Electronic Transactions Act” section below.</w:t>
      </w:r>
    </w:p>
    <w:p>
      <w:pPr>
        <w:pStyle w:val="BodyText"/>
        <w:ind w:firstLine="720" w:end="0"/>
        <w:jc w:val="both"/>
        <w:rPr/>
      </w:pPr>
      <w:r>
        <w:rPr/>
      </w:r>
    </w:p>
    <w:p>
      <w:pPr>
        <w:pStyle w:val="BodyText"/>
        <w:ind w:firstLine="1440" w:end="0"/>
        <w:jc w:val="both"/>
        <w:rPr/>
      </w:pPr>
      <w:r>
        <w:rPr>
          <w:u w:val="single"/>
        </w:rPr>
        <w:t>Exceptions</w:t>
      </w:r>
      <w:r>
        <w:rPr/>
        <w:t>.  Delaware’s UETA does not apply to transactions to the extent they are governed by (a) laws governing wills, codicils, or testamentary trusts; (b) the UCC other than Sections 1-107 (concerning written waivers of claims of right after breach) and 1-206 (statute of frauds), Article 2 (sales transactions) and Article 2A (leases); (c) the Uniform Computer Information Transactions Act (discussed below); and (d) the General Corporation Law of the State of Delaware, the Delaware Professional Service Corporation Act, the Delaware Revised Uniform Partnership Act, the Delaware Revised Uniform Limited Partnership Act, the Delaware Limited Liability Company Act, the Delaware Uniform Partnership Law, and the Delaware Business Trust Act.</w:t>
      </w:r>
      <w:r>
        <w:rPr>
          <w:rStyle w:val="FootnoteCharacters"/>
          <w:rStyle w:val="FootnoteReference"/>
        </w:rPr>
        <w:footnoteReference w:id="53"/>
      </w:r>
    </w:p>
    <w:p>
      <w:pPr>
        <w:pStyle w:val="BodyText"/>
        <w:ind w:firstLine="720" w:end="0"/>
        <w:jc w:val="both"/>
        <w:rPr/>
      </w:pPr>
      <w:r>
        <w:rPr/>
      </w:r>
    </w:p>
    <w:p>
      <w:pPr>
        <w:pStyle w:val="BodyText"/>
        <w:ind w:firstLine="1440" w:end="0"/>
        <w:jc w:val="both"/>
        <w:rPr/>
      </w:pPr>
      <w:r>
        <w:rPr>
          <w:u w:val="single"/>
        </w:rPr>
        <w:t>Choice of Forum</w:t>
      </w:r>
      <w:r>
        <w:rPr/>
        <w:t>.  Delaware’s UETA provides that the parties to an electronic contract may choose an exclusive judicial forum subject to the provisions of certain statutes that contain choice of law rules.</w:t>
      </w:r>
      <w:r>
        <w:rPr>
          <w:rStyle w:val="FootnoteCharacters"/>
          <w:rStyle w:val="FootnoteReference"/>
        </w:rPr>
        <w:footnoteReference w:id="54"/>
      </w:r>
      <w:r>
        <w:rPr/>
        <w:t xml:space="preserve">  If the contract is a consumer contract, the choice is not enforceable if such choice is unreasonable and unjust.</w:t>
      </w:r>
      <w:r>
        <w:rPr>
          <w:rStyle w:val="FootnoteCharacters"/>
          <w:rStyle w:val="FootnoteReference"/>
        </w:rPr>
        <w:footnoteReference w:id="55"/>
      </w:r>
      <w:r>
        <w:rPr/>
        <w:t xml:space="preserve">  The judicial forum chosen must be expressly provided in the agreement.</w:t>
      </w:r>
      <w:r>
        <w:rPr>
          <w:rStyle w:val="FootnoteCharacters"/>
          <w:rStyle w:val="FootnoteReference"/>
        </w:rPr>
        <w:footnoteReference w:id="56"/>
      </w:r>
      <w:r>
        <w:rPr/>
        <w:t xml:space="preserve"> </w:t>
      </w:r>
    </w:p>
    <w:p>
      <w:pPr>
        <w:pStyle w:val="BodyText"/>
        <w:ind w:firstLine="720" w:end="0"/>
        <w:jc w:val="both"/>
        <w:rPr/>
      </w:pPr>
      <w:r>
        <w:rPr/>
      </w:r>
    </w:p>
    <w:p>
      <w:pPr>
        <w:pStyle w:val="BodyText"/>
        <w:ind w:firstLine="1440" w:end="0"/>
        <w:jc w:val="both"/>
        <w:rPr/>
      </w:pPr>
      <w:r>
        <w:rPr>
          <w:u w:val="single"/>
        </w:rPr>
        <w:t>Effective Date</w:t>
      </w:r>
      <w:r>
        <w:rPr/>
        <w:t>.  The Delaware Uniform Electronic Transactions Act became effective July 14, 2000.</w:t>
      </w:r>
    </w:p>
    <w:p>
      <w:pPr>
        <w:pStyle w:val="BodyText"/>
        <w:ind w:firstLine="720" w:end="0"/>
        <w:jc w:val="both"/>
        <w:rPr/>
      </w:pPr>
      <w:r>
        <w:rPr/>
      </w:r>
    </w:p>
    <w:p>
      <w:pPr>
        <w:pStyle w:val="BodyText"/>
        <w:jc w:val="both"/>
        <w:rPr>
          <w:b/>
        </w:rPr>
      </w:pPr>
      <w:r>
        <w:rPr>
          <w:b/>
        </w:rPr>
        <w:t>E.</w:t>
        <w:tab/>
        <w:t>Uniform Laws</w:t>
      </w:r>
    </w:p>
    <w:p>
      <w:pPr>
        <w:pStyle w:val="BodyText"/>
        <w:jc w:val="both"/>
        <w:rPr>
          <w:b/>
        </w:rPr>
      </w:pPr>
      <w:r>
        <w:rPr>
          <w:b/>
        </w:rPr>
      </w:r>
    </w:p>
    <w:p>
      <w:pPr>
        <w:pStyle w:val="BodyText"/>
        <w:ind w:firstLine="720" w:end="0"/>
        <w:jc w:val="both"/>
        <w:rPr>
          <w:b/>
        </w:rPr>
      </w:pPr>
      <w:r>
        <w:rPr>
          <w:b/>
        </w:rPr>
        <w:t>1.</w:t>
        <w:tab/>
        <w:t>Uniform Electronic Transactions Act</w:t>
      </w:r>
    </w:p>
    <w:p>
      <w:pPr>
        <w:pStyle w:val="BodyText"/>
        <w:jc w:val="both"/>
        <w:rPr/>
      </w:pPr>
      <w:r>
        <w:rPr/>
      </w:r>
    </w:p>
    <w:p>
      <w:pPr>
        <w:pStyle w:val="BodyText"/>
        <w:ind w:firstLine="1440" w:end="0"/>
        <w:jc w:val="both"/>
        <w:rPr/>
      </w:pPr>
      <w:r>
        <w:rPr>
          <w:u w:val="single"/>
        </w:rPr>
        <w:t>Scope</w:t>
      </w:r>
      <w:r>
        <w:rPr/>
        <w:t>.  The National Conference of Commissioners on Uniform Laws (“NCCUSL”) approved and recommended for enactment in all the states the Uniform Electronic Transactions Act (“UETA”) at its annual conference held July 23 through 30, 1999.  The purpose of UETA is to ensure that commercial transactions may be accomplished and effected electronically by providing legal recognition of electronic records, electronic signatures, and electronic contracts.</w:t>
      </w:r>
    </w:p>
    <w:p>
      <w:pPr>
        <w:pStyle w:val="BodyText"/>
        <w:ind w:firstLine="720" w:end="0"/>
        <w:jc w:val="both"/>
        <w:rPr/>
      </w:pPr>
      <w:r>
        <w:rPr/>
      </w:r>
    </w:p>
    <w:p>
      <w:pPr>
        <w:pStyle w:val="BodyText"/>
        <w:ind w:firstLine="1440" w:end="0"/>
        <w:jc w:val="both"/>
        <w:rPr/>
      </w:pPr>
      <w:r>
        <w:rPr/>
        <w:t>UETA applies to electronic records and electronic signatures relating to transactions between two or more persons in the conduct of business, commercial (including consumer), or governmental affairs.</w:t>
      </w:r>
      <w:r>
        <w:rPr>
          <w:rStyle w:val="FootnoteCharacters"/>
          <w:rStyle w:val="FootnoteReference"/>
        </w:rPr>
        <w:footnoteReference w:id="57"/>
      </w:r>
      <w:r>
        <w:rPr/>
        <w:t xml:space="preserve">  The parties in such transactions must agree to conduct transactions by electronic means in order to benefit from the provisions of UETA.</w:t>
      </w:r>
      <w:r>
        <w:rPr>
          <w:rStyle w:val="FootnoteCharacters"/>
          <w:rStyle w:val="FootnoteReference"/>
        </w:rPr>
        <w:footnoteReference w:id="58"/>
      </w:r>
      <w:r>
        <w:rPr/>
        <w:t xml:space="preserve">  Whether the parties agree to conduct a transaction by electronic means is determined from the context and surrounding circumstances, including the parties’ conduct.  For example, if a consumer orders books from an Internet bookseller, the consumer’s intention to conduct the transaction and to receive any correspondence related to the transaction electronically can be inferred from the consumer’s conduct.  Similarly, if two people are in a meeting and one tells the other to send an e-mail confirmation of the transaction, the requisite agreement to conduct the transaction by electronic means exists.  Evidence of willingness to conduct a transaction electronically must be viewed in light of all of the circumstances surrounding the transaction with a view toward broad validation of electronic transactions.</w:t>
      </w:r>
      <w:r>
        <w:rPr>
          <w:rStyle w:val="FootnoteCharacters"/>
          <w:rStyle w:val="FootnoteReference"/>
        </w:rPr>
        <w:footnoteReference w:id="59"/>
      </w:r>
    </w:p>
    <w:p>
      <w:pPr>
        <w:pStyle w:val="BodyText"/>
        <w:ind w:firstLine="1440" w:end="0"/>
        <w:jc w:val="both"/>
        <w:rPr/>
      </w:pPr>
      <w:r>
        <w:rPr/>
      </w:r>
    </w:p>
    <w:p>
      <w:pPr>
        <w:pStyle w:val="BodyText"/>
        <w:ind w:firstLine="1440" w:end="0"/>
        <w:jc w:val="both"/>
        <w:rPr/>
      </w:pPr>
      <w:r>
        <w:rPr/>
        <w:t>UETA also applies to notes under Article 3 of the UCC and documents of title under Article 7 of the UCC.  See the discussion on transferable records below.</w:t>
      </w:r>
    </w:p>
    <w:p>
      <w:pPr>
        <w:pStyle w:val="BodyText"/>
        <w:ind w:firstLine="1440" w:end="0"/>
        <w:jc w:val="both"/>
        <w:rPr/>
      </w:pPr>
      <w:r>
        <w:rPr/>
      </w:r>
    </w:p>
    <w:p>
      <w:pPr>
        <w:pStyle w:val="BodyText"/>
        <w:ind w:firstLine="1440" w:end="0"/>
        <w:jc w:val="both"/>
        <w:rPr/>
      </w:pPr>
      <w:r>
        <w:rPr/>
        <w:t>Electronic records and signatures are legally recognized in UETA according to the following rules:  (i) a record or signature may not be denied legal effect of enforceability solely because it is in electronic form; (ii) a contract may not be denied legal effect or enforceability solely because an electronic record was used in its formation; (iii) if a law requires a record to be in writing, an electronic record satisfies the law; and (iv) if a law requires a signature, an electronic signature satisfies the law.</w:t>
      </w:r>
      <w:r>
        <w:rPr>
          <w:rStyle w:val="FootnoteCharacters"/>
          <w:rStyle w:val="FootnoteReference"/>
        </w:rPr>
        <w:footnoteReference w:id="60"/>
      </w:r>
      <w:r>
        <w:rPr/>
        <w:t xml:space="preserve">  Even if a law requires a writing, an electronic transaction could be unenforceable.  For example, if Buyer send an e-mail message to Seller offering to “buy widgets from you, delivery next Tuesday. /s/ Buyer,” and Seller responds with an e-mail message reading “I accept your offer to buy widgets for delivery next Tuesday. /s/ Seller,” the agreement would be unenforceable because there is no quantity stated in either record as required by UCC Section 2-201(1).</w:t>
      </w:r>
      <w:r>
        <w:rPr>
          <w:rStyle w:val="FootnoteCharacters"/>
          <w:rStyle w:val="FootnoteReference"/>
        </w:rPr>
        <w:footnoteReference w:id="61"/>
      </w:r>
      <w:r>
        <w:rPr/>
        <w:t xml:space="preserve">  The requirements of laws applicable to particular transactions must be examined to determine the effectiveness of electronic records and signatures.</w:t>
      </w:r>
    </w:p>
    <w:p>
      <w:pPr>
        <w:pStyle w:val="BodyText"/>
        <w:ind w:firstLine="1440" w:end="0"/>
        <w:jc w:val="both"/>
        <w:rPr/>
      </w:pPr>
      <w:r>
        <w:rPr/>
      </w:r>
    </w:p>
    <w:p>
      <w:pPr>
        <w:pStyle w:val="BodyText"/>
        <w:ind w:firstLine="1440" w:end="0"/>
        <w:jc w:val="both"/>
        <w:rPr/>
      </w:pPr>
      <w:r>
        <w:rPr/>
        <w:t>UETA allows electronic information to satisfy the requirements of laws other than UETA.  If the parties have agreed to conduct a transaction electronically and a law requires a party to provide information in writing to another party, the requirement of that law is satisfied if the information is provided in an electronic record capable of retention by the recipient at the time of receipt.</w:t>
      </w:r>
      <w:r>
        <w:rPr>
          <w:rStyle w:val="FootnoteCharacters"/>
          <w:rStyle w:val="FootnoteReference"/>
        </w:rPr>
        <w:footnoteReference w:id="62"/>
      </w:r>
      <w:r>
        <w:rPr/>
        <w:t xml:space="preserve">  An electronic record is not capable of retention if the sender or its information processing system inhibits the ability of the recipient to print or store the electronic record.</w:t>
      </w:r>
      <w:r>
        <w:rPr>
          <w:rStyle w:val="FootnoteCharacters"/>
          <w:rStyle w:val="FootnoteReference"/>
        </w:rPr>
        <w:footnoteReference w:id="63"/>
      </w:r>
      <w:r>
        <w:rPr/>
        <w:t xml:space="preserve">  If another law requires information to be posted, displayed or formatted in a certain manner, or sent or communicated by a specified method, the electronic record must follow the requirements of the applicable law.</w:t>
      </w:r>
      <w:r>
        <w:rPr>
          <w:rStyle w:val="FootnoteCharacters"/>
          <w:rStyle w:val="FootnoteReference"/>
        </w:rPr>
        <w:footnoteReference w:id="64"/>
      </w:r>
      <w:r>
        <w:rPr/>
        <w:t xml:space="preserve">  The comments to UETA provide an example:  if a law requires that notice be sent by first class mail, the requirement is satisfied if the information is provided on a compact disc sent to the recipient by first class mail.</w:t>
      </w:r>
      <w:r>
        <w:rPr>
          <w:rStyle w:val="FootnoteCharacters"/>
          <w:rStyle w:val="FootnoteReference"/>
        </w:rPr>
        <w:footnoteReference w:id="65"/>
      </w:r>
      <w:r>
        <w:rPr/>
        <w:t xml:space="preserve">  The definition of “notice” in the applicable statute is important because whether the content of the notice is communicated to the recipient will depend on whether the recipient has access to equipment that can read from a compact disc and display the notice in a format that the recipient can understand.</w:t>
      </w:r>
    </w:p>
    <w:p>
      <w:pPr>
        <w:pStyle w:val="BodyText"/>
        <w:ind w:firstLine="1440" w:end="0"/>
        <w:jc w:val="both"/>
        <w:rPr/>
      </w:pPr>
      <w:r>
        <w:rPr/>
      </w:r>
    </w:p>
    <w:p>
      <w:pPr>
        <w:pStyle w:val="BodyText"/>
        <w:ind w:firstLine="1440" w:end="0"/>
        <w:jc w:val="both"/>
        <w:rPr/>
      </w:pPr>
      <w:r>
        <w:rPr>
          <w:u w:val="single"/>
        </w:rPr>
        <w:t>Exceptions</w:t>
      </w:r>
      <w:r>
        <w:rPr/>
        <w:t>.  UETA does not apply to transactions to the extent they are governed by (a) laws governing wills, codicils, or testamentary trusts; (b) the UCC, except that UETA applies to Sections 1-107 (concerning written waivers of claims of right after breach) and 1-206 (statute of frauds), Article 2 (sales transactions) and Article 2A (leases); (c) the Uniform Computer Information Transactions Act (discussed below); and (d) other laws, if any, identified by the state enacting UETA (see the discussion of Delaware’s UETA above for examples of such state laws).</w:t>
      </w:r>
      <w:r>
        <w:rPr>
          <w:rStyle w:val="FootnoteCharacters"/>
          <w:rStyle w:val="FootnoteReference"/>
        </w:rPr>
        <w:footnoteReference w:id="66"/>
      </w:r>
      <w:r>
        <w:rPr/>
        <w:t xml:space="preserve">  As stated in (b) above, UETA applies to transactions covered by UCC Articles 2 and 2A, meaning that electronic contracts and electronic signatures involving the sale of goods or creating a lease of goods are made valid and enforceable by UETA.</w:t>
      </w:r>
    </w:p>
    <w:p>
      <w:pPr>
        <w:pStyle w:val="BodyText"/>
        <w:ind w:firstLine="1440" w:end="0"/>
        <w:jc w:val="both"/>
        <w:rPr/>
      </w:pPr>
      <w:r>
        <w:rPr/>
      </w:r>
    </w:p>
    <w:p>
      <w:pPr>
        <w:pStyle w:val="BodyText"/>
        <w:ind w:firstLine="1440" w:end="0"/>
        <w:jc w:val="both"/>
        <w:rPr/>
      </w:pPr>
      <w:r>
        <w:rPr>
          <w:u w:val="single"/>
        </w:rPr>
        <w:t>Attribution of Electronic Records and Signatures to a Person</w:t>
      </w:r>
      <w:r>
        <w:rPr/>
        <w:t>.  UETA provides that an electronic record or electronic signature is attributable to a person if it was the act of the person.</w:t>
      </w:r>
      <w:r>
        <w:rPr>
          <w:rStyle w:val="FootnoteCharacters"/>
          <w:rStyle w:val="FootnoteReference"/>
        </w:rPr>
        <w:footnoteReference w:id="67"/>
      </w:r>
      <w:r>
        <w:rPr/>
        <w:t xml:space="preserve">  The act of the person may be shown in any manner, including a showing of the effectiveness of the security procedure applied to determine the person to which the electronic record or electronic signature was attributable.</w:t>
      </w:r>
      <w:r>
        <w:rPr>
          <w:rStyle w:val="FootnoteCharacters"/>
          <w:rStyle w:val="FootnoteReference"/>
        </w:rPr>
        <w:footnoteReference w:id="68"/>
      </w:r>
      <w:r>
        <w:rPr/>
        <w:t xml:space="preserve">  The effect of the electronic record or electronic signature attributed to a person is determined from the context and surrounding circumstances at the time of its creation, execution, or adoption, and otherwise as provided by law.</w:t>
      </w:r>
      <w:r>
        <w:rPr>
          <w:rStyle w:val="FootnoteCharacters"/>
          <w:rStyle w:val="FootnoteReference"/>
        </w:rPr>
        <w:footnoteReference w:id="69"/>
      </w:r>
      <w:r>
        <w:rPr/>
        <w:t xml:space="preserve">  In the following examples, both the electronic record and electronic signature would be attributable to a person:  (a) a person types his or her name as part of an e-mail purchase order; (b) a company’s employee, pursuant to authority, types the company’s name as part of an e-mail purchase order; or (c) a company’s computer, programmed to order goods upon receipt of inventory information within particular parameters, issues a purchase order which includes the company’s name, or other identifying information, as part of the order.</w:t>
      </w:r>
      <w:r>
        <w:rPr>
          <w:rStyle w:val="FootnoteCharacters"/>
          <w:rStyle w:val="FootnoteReference"/>
        </w:rPr>
        <w:footnoteReference w:id="70"/>
      </w:r>
      <w:r>
        <w:rPr/>
        <w:t xml:space="preserve">  Certain information present in an electronic environment that links a person to a particular record may also attribute the record or signature to a person.  Such “linking” information includes numerical codes, personal identification numbers, and public and private key combinations.</w:t>
      </w:r>
      <w:r>
        <w:rPr>
          <w:rStyle w:val="FootnoteCharacters"/>
          <w:rStyle w:val="FootnoteReference"/>
        </w:rPr>
        <w:footnoteReference w:id="71"/>
      </w:r>
      <w:r>
        <w:rPr/>
        <w:t xml:space="preserve">  This is important in “click-through” transactions to establish that the resulting electronic record is attributable to a particular person upon the requisite proof, including security procedures which may track the source of the click-through.</w:t>
      </w:r>
      <w:r>
        <w:rPr>
          <w:rStyle w:val="FootnoteCharacters"/>
          <w:rStyle w:val="FootnoteReference"/>
        </w:rPr>
        <w:footnoteReference w:id="72"/>
      </w:r>
    </w:p>
    <w:p>
      <w:pPr>
        <w:pStyle w:val="BodyText"/>
        <w:ind w:firstLine="1440" w:end="0"/>
        <w:jc w:val="both"/>
        <w:rPr/>
      </w:pPr>
      <w:r>
        <w:rPr/>
      </w:r>
    </w:p>
    <w:p>
      <w:pPr>
        <w:pStyle w:val="BodyText"/>
        <w:ind w:firstLine="1440" w:end="0"/>
        <w:jc w:val="both"/>
        <w:rPr/>
      </w:pPr>
      <w:r>
        <w:rPr>
          <w:u w:val="single"/>
        </w:rPr>
        <w:t>Automated Transactions</w:t>
      </w:r>
      <w:r>
        <w:rPr/>
        <w:t>.  Under UETA, the following rules apply in automated transactions:  (a) a contract may be formed by the interaction of electronic agents of the parties, even if no individual was aware of or reviewed the electronic agents’ actions or the resulting terms and conditions; (b) a contract may be formed by the interaction of an electronic agent and an individual, acting on the individual’s own behalf or for another person; and (c) the terms of the  contract are determined by the substantive law applicable to it.</w:t>
      </w:r>
      <w:r>
        <w:rPr>
          <w:rStyle w:val="FootnoteCharacters"/>
          <w:rStyle w:val="FootnoteReference"/>
        </w:rPr>
        <w:footnoteReference w:id="73"/>
      </w:r>
      <w:r>
        <w:rPr/>
        <w:t xml:space="preserve">  These rules negate any claim that a lack of human intent prevents contract formation.  According to the comments to UETA, when machines are involved, the requisite intention flows from the programming and use of the machine.</w:t>
      </w:r>
      <w:r>
        <w:rPr>
          <w:rStyle w:val="FootnoteCharacters"/>
          <w:rStyle w:val="FootnoteReference"/>
        </w:rPr>
        <w:footnoteReference w:id="74"/>
      </w:r>
      <w:r>
        <w:rPr/>
        <w:t xml:space="preserve">  Item (b) above validates anonymous click-through transactions.  For example, if party A can show that the only way party B could have obtained transaction information was from A’s website, and that the process to access the subject information required that B must have clicked the “I Agree” button after being presented with the terms and conditions on use of A’s website, then A has shown B’s agreement or assent to the terms of the transaction and her intent to be bound.</w:t>
      </w:r>
      <w:r>
        <w:rPr>
          <w:rStyle w:val="FootnoteCharacters"/>
          <w:rStyle w:val="FootnoteReference"/>
        </w:rPr>
        <w:footnoteReference w:id="75"/>
      </w:r>
      <w:r>
        <w:rPr/>
        <w:t xml:space="preserve">  </w:t>
      </w:r>
    </w:p>
    <w:p>
      <w:pPr>
        <w:pStyle w:val="BodyText"/>
        <w:ind w:firstLine="1440" w:end="0"/>
        <w:jc w:val="both"/>
        <w:rPr/>
      </w:pPr>
      <w:r>
        <w:rPr/>
      </w:r>
    </w:p>
    <w:p>
      <w:pPr>
        <w:pStyle w:val="BodyText"/>
        <w:ind w:firstLine="1440" w:end="0"/>
        <w:jc w:val="both"/>
        <w:rPr/>
      </w:pPr>
      <w:r>
        <w:rPr>
          <w:u w:val="single"/>
        </w:rPr>
        <w:t>Transferable Records</w:t>
      </w:r>
      <w:r>
        <w:rPr/>
        <w:t>.  If a note or document of title would be a UCC Article 3 note or UCC Article 7 document if the electronic record were in writing, the note or document is a “transferable record” under UETA if it is in electronic form and the issuer of the electronic record expressly agreed it is a transferable record.</w:t>
      </w:r>
      <w:r>
        <w:rPr>
          <w:rStyle w:val="FootnoteCharacters"/>
          <w:rStyle w:val="FootnoteReference"/>
        </w:rPr>
        <w:footnoteReference w:id="76"/>
      </w:r>
      <w:r>
        <w:rPr/>
        <w:t xml:space="preserve">  </w:t>
      </w:r>
    </w:p>
    <w:p>
      <w:pPr>
        <w:pStyle w:val="BodyText"/>
        <w:ind w:firstLine="1440" w:end="0"/>
        <w:jc w:val="both"/>
        <w:rPr/>
      </w:pPr>
      <w:r>
        <w:rPr/>
      </w:r>
    </w:p>
    <w:p>
      <w:pPr>
        <w:pStyle w:val="BodyText"/>
        <w:ind w:firstLine="1440" w:end="0"/>
        <w:jc w:val="both"/>
        <w:rPr/>
      </w:pPr>
      <w:r>
        <w:rPr/>
        <w:t>The person with control of a transferable record is the holder (for purposes of the UCC) of the transferable record and has the same rights and defenses as a holder of an equivalent record or writing under the UCC.</w:t>
      </w:r>
      <w:r>
        <w:rPr>
          <w:rStyle w:val="FootnoteCharacters"/>
          <w:rStyle w:val="FootnoteReference"/>
        </w:rPr>
        <w:footnoteReference w:id="77"/>
      </w:r>
      <w:r>
        <w:rPr/>
        <w:t xml:space="preserve">  A person has control of a transferable record if a system employed for evidencing the transfer of interests in the transferable record reliably establishes that person as the person to which the transferable record was issued or transferred.</w:t>
      </w:r>
      <w:r>
        <w:rPr>
          <w:rStyle w:val="FootnoteCharacters"/>
          <w:rStyle w:val="FootnoteReference"/>
        </w:rPr>
        <w:footnoteReference w:id="78"/>
      </w:r>
      <w:r>
        <w:rPr/>
        <w:t xml:space="preserve">  The system described in the previous sentence must provide for the creation, storage, and assignment of a transferable record in such a manner that:</w:t>
      </w:r>
    </w:p>
    <w:p>
      <w:pPr>
        <w:pStyle w:val="BodyText"/>
        <w:ind w:firstLine="1440" w:end="0"/>
        <w:jc w:val="both"/>
        <w:rPr/>
      </w:pPr>
      <w:r>
        <w:rPr/>
      </w:r>
    </w:p>
    <w:p>
      <w:pPr>
        <w:pStyle w:val="BodyText"/>
        <w:ind w:firstLine="720" w:start="720" w:end="720"/>
        <w:jc w:val="both"/>
        <w:rPr/>
      </w:pPr>
      <w:r>
        <w:rPr/>
        <w:t>(a)</w:t>
        <w:tab/>
        <w:t xml:space="preserve">a single authoritative copy of the transferable record exists which is unique, identifiable, and, except as otherwise provided in (d), (e) and (f) below, unalterable; </w:t>
      </w:r>
    </w:p>
    <w:p>
      <w:pPr>
        <w:pStyle w:val="BodyText"/>
        <w:ind w:firstLine="720" w:start="720" w:end="720"/>
        <w:jc w:val="both"/>
        <w:rPr/>
      </w:pPr>
      <w:r>
        <w:rPr/>
      </w:r>
    </w:p>
    <w:p>
      <w:pPr>
        <w:pStyle w:val="BodyText"/>
        <w:ind w:firstLine="720" w:start="720" w:end="720"/>
        <w:jc w:val="both"/>
        <w:rPr/>
      </w:pPr>
      <w:r>
        <w:rPr/>
        <w:t>(b)</w:t>
        <w:tab/>
        <w:t>the authoritative copy identifies the person asserting control as either the person to which the transferable record was issued, or the person to which the transferable record was most recently transferred (if the authoritative copy indicates that the transferable record has been transferred);</w:t>
      </w:r>
    </w:p>
    <w:p>
      <w:pPr>
        <w:pStyle w:val="BodyText"/>
        <w:ind w:firstLine="720" w:start="720" w:end="720"/>
        <w:jc w:val="both"/>
        <w:rPr/>
      </w:pPr>
      <w:r>
        <w:rPr/>
      </w:r>
    </w:p>
    <w:p>
      <w:pPr>
        <w:pStyle w:val="BodyText"/>
        <w:ind w:firstLine="720" w:start="720" w:end="720"/>
        <w:jc w:val="both"/>
        <w:rPr/>
      </w:pPr>
      <w:r>
        <w:rPr/>
        <w:t>(c)</w:t>
        <w:tab/>
        <w:t>the authoritative copy is communicated to and maintained by the person asserting control or its designated custodian;</w:t>
      </w:r>
    </w:p>
    <w:p>
      <w:pPr>
        <w:pStyle w:val="BodyText"/>
        <w:ind w:firstLine="720" w:start="720" w:end="720"/>
        <w:jc w:val="both"/>
        <w:rPr/>
      </w:pPr>
      <w:r>
        <w:rPr/>
      </w:r>
    </w:p>
    <w:p>
      <w:pPr>
        <w:pStyle w:val="BodyText"/>
        <w:ind w:firstLine="720" w:start="720" w:end="720"/>
        <w:jc w:val="both"/>
        <w:rPr/>
      </w:pPr>
      <w:r>
        <w:rPr/>
        <w:t>(d)</w:t>
        <w:tab/>
        <w:t>copies or revisions that add or change an identified assignee of the authoritative copy can be made only with the consent of the person asserting control;</w:t>
      </w:r>
    </w:p>
    <w:p>
      <w:pPr>
        <w:pStyle w:val="BodyText"/>
        <w:ind w:firstLine="720" w:start="720" w:end="720"/>
        <w:jc w:val="both"/>
        <w:rPr/>
      </w:pPr>
      <w:r>
        <w:rPr/>
      </w:r>
    </w:p>
    <w:p>
      <w:pPr>
        <w:pStyle w:val="BodyText"/>
        <w:ind w:firstLine="720" w:start="720" w:end="720"/>
        <w:jc w:val="both"/>
        <w:rPr/>
      </w:pPr>
      <w:r>
        <w:rPr/>
        <w:t>(e)</w:t>
        <w:tab/>
        <w:t>each copy of the authoritative copy and any copy of a copy is readily identifiable as a copy that is not the authoritative copy; and</w:t>
      </w:r>
    </w:p>
    <w:p>
      <w:pPr>
        <w:pStyle w:val="BodyText"/>
        <w:ind w:firstLine="720" w:start="720" w:end="720"/>
        <w:jc w:val="both"/>
        <w:rPr/>
      </w:pPr>
      <w:r>
        <w:rPr/>
      </w:r>
    </w:p>
    <w:p>
      <w:pPr>
        <w:pStyle w:val="BodyText"/>
        <w:ind w:firstLine="720" w:start="720" w:end="720"/>
        <w:jc w:val="both"/>
        <w:rPr/>
      </w:pPr>
      <w:r>
        <w:rPr/>
        <w:t>(f)</w:t>
        <w:tab/>
        <w:t>any revision of the authoritative copy is readily identifiable as authorized or unauthorized.</w:t>
      </w:r>
      <w:r>
        <w:rPr>
          <w:rStyle w:val="FootnoteCharacters"/>
          <w:rStyle w:val="FootnoteReference"/>
        </w:rPr>
        <w:footnoteReference w:id="79"/>
      </w:r>
    </w:p>
    <w:p>
      <w:pPr>
        <w:pStyle w:val="BodyText"/>
        <w:ind w:firstLine="1440" w:start="720" w:end="720"/>
        <w:jc w:val="both"/>
        <w:rPr/>
      </w:pPr>
      <w:r>
        <w:rPr/>
      </w:r>
    </w:p>
    <w:p>
      <w:pPr>
        <w:pStyle w:val="BodyText"/>
        <w:ind w:firstLine="1440" w:end="0"/>
        <w:jc w:val="both"/>
        <w:rPr/>
      </w:pPr>
      <w:r>
        <w:rPr/>
        <w:t>An obligor under a transferable record has the same rights and defenses as an equivalent obligor under equivalent records or writings under the UCC.</w:t>
      </w:r>
      <w:r>
        <w:rPr>
          <w:rStyle w:val="FootnoteCharacters"/>
          <w:rStyle w:val="FootnoteReference"/>
        </w:rPr>
        <w:footnoteReference w:id="80"/>
      </w:r>
      <w:r>
        <w:rPr/>
        <w:t xml:space="preserve">  Proof of control of a transferable record may include access to the authoritative copy and related business records sufficient to review the terms of the transferable record and to establish the identity of the person having control of the transferable record.</w:t>
      </w:r>
      <w:r>
        <w:rPr>
          <w:rStyle w:val="FootnoteCharacters"/>
          <w:rStyle w:val="FootnoteReference"/>
        </w:rPr>
        <w:footnoteReference w:id="81"/>
      </w:r>
      <w:r>
        <w:rPr/>
        <w:t xml:space="preserve">  The UETA comments state that “the certainty created by this section provides the requisite incentive for industry to develop the systems and processes, which involve significant expenditures of time and resources, to enable the use of such electronic documents.”</w:t>
      </w:r>
      <w:r>
        <w:rPr>
          <w:rStyle w:val="FootnoteCharacters"/>
          <w:rStyle w:val="FootnoteReference"/>
        </w:rPr>
        <w:footnoteReference w:id="82"/>
      </w:r>
    </w:p>
    <w:p>
      <w:pPr>
        <w:pStyle w:val="BodyText"/>
        <w:ind w:firstLine="1440" w:end="0"/>
        <w:jc w:val="both"/>
        <w:rPr/>
      </w:pPr>
      <w:r>
        <w:rPr/>
      </w:r>
    </w:p>
    <w:p>
      <w:pPr>
        <w:pStyle w:val="BodyText"/>
        <w:ind w:firstLine="1440" w:end="0"/>
        <w:jc w:val="both"/>
        <w:rPr/>
      </w:pPr>
      <w:r>
        <w:rPr>
          <w:u w:val="single"/>
        </w:rPr>
        <w:t>Notarization and Acknowledgment</w:t>
      </w:r>
      <w:r>
        <w:rPr/>
        <w:t>.  UETA provides that if a law requires a signature or record to be notarized, acknowledged, verified, or made under oath, the requirement is satisfied if the electronic signature of the person authorized to perform such acts, together with all other information required to be included by other applicable law, is attached to or logically associated with the signature or record.</w:t>
      </w:r>
      <w:r>
        <w:rPr>
          <w:rStyle w:val="FootnoteCharacters"/>
          <w:rStyle w:val="FootnoteReference"/>
        </w:rPr>
        <w:footnoteReference w:id="83"/>
      </w:r>
    </w:p>
    <w:p>
      <w:pPr>
        <w:pStyle w:val="BodyText"/>
        <w:ind w:firstLine="1440" w:end="0"/>
        <w:jc w:val="both"/>
        <w:rPr/>
      </w:pPr>
      <w:r>
        <w:rPr/>
      </w:r>
    </w:p>
    <w:p>
      <w:pPr>
        <w:pStyle w:val="BodyText"/>
        <w:ind w:firstLine="1440" w:end="0"/>
        <w:jc w:val="both"/>
        <w:rPr/>
      </w:pPr>
      <w:r>
        <w:rPr>
          <w:u w:val="single"/>
        </w:rPr>
        <w:t>Evidence</w:t>
      </w:r>
      <w:r>
        <w:rPr/>
        <w:t>.  Evidence of a record or signature may not be excluded solely because it is in electronic form.</w:t>
      </w:r>
      <w:r>
        <w:rPr>
          <w:rStyle w:val="FootnoteCharacters"/>
          <w:rStyle w:val="FootnoteReference"/>
        </w:rPr>
        <w:footnoteReference w:id="84"/>
      </w:r>
    </w:p>
    <w:p>
      <w:pPr>
        <w:pStyle w:val="BodyText"/>
        <w:ind w:firstLine="1440" w:end="0"/>
        <w:jc w:val="both"/>
        <w:rPr/>
      </w:pPr>
      <w:r>
        <w:rPr/>
      </w:r>
    </w:p>
    <w:p>
      <w:pPr>
        <w:pStyle w:val="BodyText"/>
        <w:ind w:firstLine="1440" w:end="0"/>
        <w:jc w:val="both"/>
        <w:rPr/>
      </w:pPr>
      <w:r>
        <w:rPr>
          <w:u w:val="single"/>
        </w:rPr>
        <w:t>Other Provisions</w:t>
      </w:r>
      <w:r>
        <w:rPr/>
        <w:t>.  The provisions of UETA also describe the effect of a change or error in an electronic record transmission between parties to a transaction,</w:t>
      </w:r>
      <w:r>
        <w:rPr>
          <w:rStyle w:val="FootnoteCharacters"/>
          <w:rStyle w:val="FootnoteReference"/>
        </w:rPr>
        <w:footnoteReference w:id="85"/>
      </w:r>
      <w:r>
        <w:rPr/>
        <w:t xml:space="preserve"> retention of electronic records and originals of those records,</w:t>
      </w:r>
      <w:r>
        <w:rPr>
          <w:rStyle w:val="FootnoteCharacters"/>
          <w:rStyle w:val="FootnoteReference"/>
        </w:rPr>
        <w:footnoteReference w:id="86"/>
      </w:r>
      <w:r>
        <w:rPr/>
        <w:t xml:space="preserve"> and the time and place of sending and receipt of electronic records.</w:t>
      </w:r>
      <w:r>
        <w:rPr>
          <w:rStyle w:val="FootnoteCharacters"/>
          <w:rStyle w:val="FootnoteReference"/>
        </w:rPr>
        <w:footnoteReference w:id="87"/>
      </w:r>
    </w:p>
    <w:p>
      <w:pPr>
        <w:pStyle w:val="BodyText"/>
        <w:ind w:firstLine="1440" w:end="0"/>
        <w:jc w:val="both"/>
        <w:rPr/>
      </w:pPr>
      <w:r>
        <w:rPr/>
      </w:r>
    </w:p>
    <w:p>
      <w:pPr>
        <w:pStyle w:val="BodyText"/>
        <w:ind w:firstLine="1440" w:end="0"/>
        <w:jc w:val="both"/>
        <w:rPr/>
      </w:pPr>
      <w:r>
        <w:rPr>
          <w:u w:val="single"/>
        </w:rPr>
        <w:t>Construction and Application</w:t>
      </w:r>
      <w:r>
        <w:rPr/>
        <w:t>. UETA provides that it must be construed and applied (a) to facilitate electronic transactions consistent with other applicable law; (b) to be consistent with reasonable practices concerning electronic transactions and with the continued expansion of those practices; and (c) to effectuate its general purpose to make uniform the law with respect to the subject of UETA among states enacting it.</w:t>
      </w:r>
      <w:r>
        <w:rPr>
          <w:rStyle w:val="FootnoteCharacters"/>
          <w:rStyle w:val="FootnoteReference"/>
        </w:rPr>
        <w:footnoteReference w:id="88"/>
      </w:r>
    </w:p>
    <w:p>
      <w:pPr>
        <w:pStyle w:val="BodyText"/>
        <w:ind w:firstLine="1440" w:end="0"/>
        <w:jc w:val="both"/>
        <w:rPr/>
      </w:pPr>
      <w:r>
        <w:rPr/>
      </w:r>
    </w:p>
    <w:p>
      <w:pPr>
        <w:pStyle w:val="BodyText"/>
        <w:ind w:firstLine="1440" w:end="0"/>
        <w:jc w:val="both"/>
        <w:rPr/>
      </w:pPr>
      <w:r>
        <w:rPr>
          <w:u w:val="single"/>
        </w:rPr>
        <w:t>Effective Date</w:t>
      </w:r>
      <w:r>
        <w:rPr/>
        <w:t>.  UETA applies to electronic records or signatures created, generated, sent, communicated, received, or stored on or after the effective date of UETA, as enacted by a state.</w:t>
      </w:r>
      <w:r>
        <w:rPr>
          <w:rStyle w:val="FootnoteCharacters"/>
          <w:rStyle w:val="FootnoteReference"/>
        </w:rPr>
        <w:footnoteReference w:id="89"/>
      </w:r>
    </w:p>
    <w:p>
      <w:pPr>
        <w:pStyle w:val="BodyText"/>
        <w:ind w:firstLine="720" w:end="0"/>
        <w:jc w:val="both"/>
        <w:rPr/>
      </w:pPr>
      <w:r>
        <w:rPr/>
      </w:r>
    </w:p>
    <w:p>
      <w:pPr>
        <w:pStyle w:val="BodyText"/>
        <w:ind w:firstLine="720" w:end="0"/>
        <w:jc w:val="both"/>
        <w:rPr>
          <w:b/>
        </w:rPr>
      </w:pPr>
      <w:r>
        <w:rPr>
          <w:b/>
        </w:rPr>
        <w:t>2.</w:t>
        <w:tab/>
        <w:t>Uniform Computer Information Transactions Act</w:t>
      </w:r>
    </w:p>
    <w:p>
      <w:pPr>
        <w:pStyle w:val="BodyText"/>
        <w:jc w:val="both"/>
        <w:rPr/>
      </w:pPr>
      <w:r>
        <w:rPr/>
      </w:r>
    </w:p>
    <w:p>
      <w:pPr>
        <w:pStyle w:val="BodyText"/>
        <w:ind w:firstLine="1440" w:end="0"/>
        <w:jc w:val="both"/>
        <w:rPr/>
      </w:pPr>
      <w:r>
        <w:rPr>
          <w:u w:val="single"/>
        </w:rPr>
        <w:t>Scope</w:t>
      </w:r>
      <w:r>
        <w:rPr/>
        <w:t>.  The Uniform Computer Information Transactions Act (“UCITA”) was approved and recommended for enactment in all the states by the NCCUSL at its annual conference July 23 through 30, 1999.  UCITA applies to “computer information transactions” involving the creation, modification, transfer, or license of computer information or informational rights in computer information.</w:t>
      </w:r>
      <w:r>
        <w:rPr>
          <w:rStyle w:val="FootnoteCharacters"/>
          <w:rStyle w:val="FootnoteReference"/>
        </w:rPr>
        <w:footnoteReference w:id="90"/>
      </w:r>
      <w:r>
        <w:rPr/>
        <w:t xml:space="preserve">  Computer information transactions, as used in UCITA, do not include transactions that merely provide that the parties’ communications will be in the form of computer information.</w:t>
      </w:r>
      <w:r>
        <w:rPr>
          <w:rStyle w:val="FootnoteCharacters"/>
          <w:rStyle w:val="FootnoteReference"/>
        </w:rPr>
        <w:footnoteReference w:id="91"/>
      </w:r>
      <w:r>
        <w:rPr/>
        <w:t xml:space="preserve">  Thus, an electronic contract for the sale of goods other than computer information would not be governed by UCITA and would continue to be governed by UCC Article 2.  “Computer information” is defined as information in electronic form which is obtained from or through the use of a computer or which is in a form capable of being processed by a computer, including a copy of the information (for example, a compact disc) and any documentation or packaging associated with the copy.</w:t>
      </w:r>
      <w:r>
        <w:rPr>
          <w:rStyle w:val="FootnoteCharacters"/>
          <w:rStyle w:val="FootnoteReference"/>
        </w:rPr>
        <w:footnoteReference w:id="92"/>
      </w:r>
      <w:r>
        <w:rPr/>
        <w:t xml:space="preserve">  “Informational rights” include all rights in information created under the laws governing patents, copyrights, mask works, trade secrets, trademarks, publicity rights, or any other law that gives a person, independently of a contract, a right to control or preclude another’s use of or access to the information on the basis of the rights holder’s interest in the information.</w:t>
      </w:r>
      <w:r>
        <w:rPr>
          <w:rStyle w:val="FootnoteCharacters"/>
          <w:rStyle w:val="FootnoteReference"/>
        </w:rPr>
        <w:footnoteReference w:id="93"/>
      </w:r>
    </w:p>
    <w:p>
      <w:pPr>
        <w:pStyle w:val="BodyText"/>
        <w:ind w:firstLine="1440" w:end="0"/>
        <w:jc w:val="both"/>
        <w:rPr/>
      </w:pPr>
      <w:r>
        <w:rPr/>
      </w:r>
    </w:p>
    <w:p>
      <w:pPr>
        <w:pStyle w:val="BodyText"/>
        <w:ind w:firstLine="1440" w:end="0"/>
        <w:jc w:val="both"/>
        <w:rPr/>
      </w:pPr>
      <w:r>
        <w:rPr/>
        <w:t>UCITA provides rules governing computer information transactions that contain subject matter in addition to computer information.  If a transaction includes computer information and goods, UCITA applies to the computer information and informational rights in it; however, if a copy of a computer program is contained in and sold or leased as part of other goods, UCITA applies to the copy and the computer program only if:  (a) the other goods are a computer or computer peripheral; or (b) giving the buyer or lessee of the goods access to or use of the program is ordinarily a material purpose of transactions in goods of the type sold or leased in the transaction.</w:t>
      </w:r>
      <w:r>
        <w:rPr>
          <w:rStyle w:val="FootnoteCharacters"/>
          <w:rStyle w:val="FootnoteReference"/>
        </w:rPr>
        <w:footnoteReference w:id="94"/>
      </w:r>
      <w:r>
        <w:rPr/>
        <w:t xml:space="preserve">  For example, if a software manufacturer sells a compact disc (a good) containing a software program and the material purpose of the transaction is to transfer a license to use the software program, the sale of the compact disc is covered by UCITA.  On the other hand, if an automobile manufacturer sells an automobile that contains a computer program that controls the braking system, the material purpose of the transaction is to sell the automobile, not the braking system program, so the transaction would not be covered by UCITA.</w:t>
      </w:r>
    </w:p>
    <w:p>
      <w:pPr>
        <w:pStyle w:val="BodyText"/>
        <w:ind w:firstLine="1440" w:end="0"/>
        <w:jc w:val="both"/>
        <w:rPr/>
      </w:pPr>
      <w:r>
        <w:rPr/>
      </w:r>
    </w:p>
    <w:p>
      <w:pPr>
        <w:pStyle w:val="BodyText"/>
        <w:ind w:firstLine="1440" w:end="0"/>
        <w:jc w:val="both"/>
        <w:rPr/>
      </w:pPr>
      <w:r>
        <w:rPr/>
        <w:t>Electronic records and electronic signatures may not be denied legal effect or enforceability solely because they are in electronic form.</w:t>
      </w:r>
      <w:r>
        <w:rPr>
          <w:rStyle w:val="FootnoteCharacters"/>
          <w:rStyle w:val="FootnoteReference"/>
        </w:rPr>
        <w:footnoteReference w:id="95"/>
      </w:r>
      <w:r>
        <w:rPr/>
        <w:t xml:space="preserve">  Persons that select and use electronic agents for signing, performing, or agreeing are bound by the operations of the electronic agent, even if no individual was aware of or reviewed the agent’s operations or results of operations.</w:t>
      </w:r>
      <w:r>
        <w:rPr>
          <w:rStyle w:val="FootnoteCharacters"/>
          <w:rStyle w:val="FootnoteReference"/>
        </w:rPr>
        <w:footnoteReference w:id="96"/>
      </w:r>
    </w:p>
    <w:p>
      <w:pPr>
        <w:pStyle w:val="BodyText"/>
        <w:ind w:firstLine="1440" w:end="0"/>
        <w:jc w:val="both"/>
        <w:rPr/>
      </w:pPr>
      <w:r>
        <w:rPr/>
      </w:r>
    </w:p>
    <w:p>
      <w:pPr>
        <w:pStyle w:val="BodyText"/>
        <w:ind w:firstLine="1440" w:end="0"/>
        <w:jc w:val="both"/>
        <w:rPr/>
      </w:pPr>
      <w:r>
        <w:rPr>
          <w:u w:val="single"/>
        </w:rPr>
        <w:t>Exceptions</w:t>
      </w:r>
      <w:r>
        <w:rPr/>
        <w:t>.  To the extent of a conflict between UCITA and UCC Article 9 (governing secured transactions), UCC Article 9 governs.</w:t>
      </w:r>
      <w:r>
        <w:rPr>
          <w:rStyle w:val="FootnoteCharacters"/>
          <w:rStyle w:val="FootnoteReference"/>
        </w:rPr>
        <w:footnoteReference w:id="97"/>
      </w:r>
      <w:r>
        <w:rPr/>
        <w:t xml:space="preserve">  UCITA does not apply to (a) financial services transactions; (b) contracts involving audio or visual programming provided by broadcast, satellite, or cable, motion pictures, sound recordings, musical works, phonorecords, or enhanced sound recordings; (c) compulsory licenses (pursuant to the Copyright Act); (d) employment contracts other than for independent contractors; (e) contracts not requiring that information be furnished as computer information; and (d) subject matter within the scope of UCC Articles 3 (negotiable instruments), 4 (payment systems), 4A (funds transfers), 5 (letters of credit), 6 (bulk sales), 7 (documents of title), or 8 (investment securities).</w:t>
      </w:r>
      <w:r>
        <w:rPr>
          <w:rStyle w:val="FootnoteCharacters"/>
          <w:rStyle w:val="FootnoteReference"/>
        </w:rPr>
        <w:footnoteReference w:id="98"/>
      </w:r>
    </w:p>
    <w:p>
      <w:pPr>
        <w:pStyle w:val="BodyText"/>
        <w:ind w:firstLine="1440" w:end="0"/>
        <w:jc w:val="both"/>
        <w:rPr/>
      </w:pPr>
      <w:r>
        <w:rPr/>
      </w:r>
    </w:p>
    <w:p>
      <w:pPr>
        <w:pStyle w:val="BodyText"/>
        <w:ind w:firstLine="1440" w:end="0"/>
        <w:jc w:val="both"/>
        <w:rPr/>
      </w:pPr>
      <w:r>
        <w:rPr>
          <w:u w:val="single"/>
        </w:rPr>
        <w:t>Relation to Other Law</w:t>
      </w:r>
      <w:r>
        <w:rPr/>
        <w:t>.  If federal law preempts a provision of UCITA, the provision is unenforceable to the extent of the preemption.</w:t>
      </w:r>
      <w:r>
        <w:rPr>
          <w:rStyle w:val="FootnoteCharacters"/>
          <w:rStyle w:val="FootnoteReference"/>
        </w:rPr>
        <w:footnoteReference w:id="99"/>
      </w:r>
      <w:r>
        <w:rPr/>
        <w:t xml:space="preserve">  Except with regard to the acceptance of electronic records and electronic signatures, if UCITA conflicts with a consumer protection statute or administrative rule, the consumer protection statute or rule governs.</w:t>
      </w:r>
      <w:r>
        <w:rPr>
          <w:rStyle w:val="FootnoteCharacters"/>
          <w:rStyle w:val="FootnoteReference"/>
        </w:rPr>
        <w:footnoteReference w:id="100"/>
      </w:r>
      <w:r>
        <w:rPr/>
        <w:t xml:space="preserve">  UCITA also includes an optional provision that will allow states to provide that their laws establishing digital signatures and attribution procedures prevail over UCITA in the event of a conflict.</w:t>
      </w:r>
      <w:r>
        <w:rPr>
          <w:rStyle w:val="FootnoteCharacters"/>
          <w:rStyle w:val="FootnoteReference"/>
        </w:rPr>
        <w:footnoteReference w:id="101"/>
      </w:r>
    </w:p>
    <w:p>
      <w:pPr>
        <w:pStyle w:val="BodyText"/>
        <w:ind w:firstLine="1440" w:end="0"/>
        <w:jc w:val="both"/>
        <w:rPr/>
      </w:pPr>
      <w:r>
        <w:rPr/>
      </w:r>
    </w:p>
    <w:p>
      <w:pPr>
        <w:pStyle w:val="BodyText"/>
        <w:ind w:firstLine="1440" w:end="0"/>
        <w:jc w:val="both"/>
        <w:rPr/>
      </w:pPr>
      <w:r>
        <w:rPr>
          <w:u w:val="single"/>
        </w:rPr>
        <w:t>Other</w:t>
      </w:r>
      <w:r>
        <w:rPr/>
        <w:t>.  UCITA contains various provisions governing contracts for transactions in computer information, including:  formation and terms (Part 2), construction (Part 3), warranties (Part 4), transfers of interests and rights, including financing (Part 5), performance (Part 6), breach of contract (Part 7), and remedies (Part 8).</w:t>
      </w:r>
    </w:p>
    <w:p>
      <w:pPr>
        <w:pStyle w:val="BodyText"/>
        <w:ind w:firstLine="1440" w:end="0"/>
        <w:jc w:val="both"/>
        <w:rPr/>
      </w:pPr>
      <w:r>
        <w:rPr/>
      </w:r>
    </w:p>
    <w:p>
      <w:pPr>
        <w:pStyle w:val="BodyText"/>
        <w:ind w:firstLine="1440" w:end="0"/>
        <w:jc w:val="both"/>
        <w:rPr/>
      </w:pPr>
      <w:r>
        <w:rPr>
          <w:u w:val="single"/>
        </w:rPr>
        <w:t>Effective Date</w:t>
      </w:r>
      <w:r>
        <w:rPr/>
        <w:t>.  UCITA will become effective as provided by each state enacting it.</w:t>
      </w:r>
      <w:r>
        <w:rPr>
          <w:rStyle w:val="FootnoteCharacters"/>
          <w:rStyle w:val="FootnoteReference"/>
        </w:rPr>
        <w:footnoteReference w:id="102"/>
      </w:r>
      <w:r>
        <w:rPr/>
        <w:t xml:space="preserve">  Contracts that are enforceable and rights of action that accrue before the effective date will be governed by the law then in effect unless the parties agree to be governed by UCITA.</w:t>
      </w:r>
      <w:r>
        <w:rPr>
          <w:rStyle w:val="FootnoteCharacters"/>
          <w:rStyle w:val="FootnoteReference"/>
        </w:rPr>
        <w:footnoteReference w:id="103"/>
      </w:r>
    </w:p>
    <w:p>
      <w:pPr>
        <w:pStyle w:val="BodyText"/>
        <w:ind w:firstLine="1440" w:end="0"/>
        <w:jc w:val="both"/>
        <w:rPr/>
      </w:pPr>
      <w:r>
        <w:rPr/>
      </w:r>
    </w:p>
    <w:p>
      <w:pPr>
        <w:pStyle w:val="BodyText"/>
        <w:jc w:val="both"/>
        <w:rPr>
          <w:b/>
        </w:rPr>
      </w:pPr>
      <w:r>
        <w:rPr>
          <w:b/>
        </w:rPr>
      </w:r>
    </w:p>
    <w:p>
      <w:pPr>
        <w:pStyle w:val="BodyText"/>
        <w:jc w:val="both"/>
        <w:rPr>
          <w:b/>
        </w:rPr>
      </w:pPr>
      <w:r>
        <w:rPr>
          <w:b/>
        </w:rPr>
        <w:t>III.</w:t>
        <w:tab/>
        <w:t>Conclusion</w:t>
      </w:r>
    </w:p>
    <w:p>
      <w:pPr>
        <w:pStyle w:val="BodyText"/>
        <w:jc w:val="both"/>
        <w:rPr/>
      </w:pPr>
      <w:r>
        <w:rPr/>
      </w:r>
    </w:p>
    <w:p>
      <w:pPr>
        <w:pStyle w:val="BodyText"/>
        <w:jc w:val="both"/>
        <w:rPr/>
      </w:pPr>
      <w:r>
        <w:rPr/>
        <w:tab/>
        <w:t>While the law regarding electronic contracts and digital signatures evolves,  traditional common law and statutory law will continue to influence the requirements for contract formation and enforceability as well as whether sufficient proof of a contract can be established.  As discussed above, federal and state legislatures recognized the need for certainty in the creation and enforceability of electronic contracts and have enacted legislation to provide such certainty.  A party desiring to establish methods and procedures for electronic transactions should evaluate the applicable jurisdictions’ laws to ascertain whether electronic contracts will be enforceable in those jurisdictions and to identify any requirements for the formation, enforceability and proof of its electronic contracts.</w:t>
      </w:r>
    </w:p>
    <w:p>
      <w:pPr>
        <w:pStyle w:val="BodyText"/>
        <w:jc w:val="both"/>
        <w:rPr>
          <w:sz w:val="16"/>
        </w:rPr>
      </w:pPr>
      <w:r>
        <w:rPr>
          <w:sz w:val="16"/>
        </w:rPr>
      </w:r>
    </w:p>
    <w:p>
      <w:pPr>
        <w:pStyle w:val="BodyText"/>
        <w:jc w:val="both"/>
        <w:rPr>
          <w:sz w:val="16"/>
        </w:rPr>
      </w:pPr>
      <w:r>
        <w:rPr>
          <w:sz w:val="16"/>
        </w:rPr>
      </w:r>
    </w:p>
    <w:p>
      <w:pPr>
        <w:pStyle w:val="BodyText"/>
        <w:jc w:val="both"/>
        <w:rPr>
          <w:sz w:val="16"/>
        </w:rPr>
      </w:pPr>
      <w:r>
        <w:rPr>
          <w:sz w:val="16"/>
        </w:rPr>
      </w:r>
    </w:p>
    <w:p>
      <w:pPr>
        <w:pStyle w:val="BodyText"/>
        <w:jc w:val="both"/>
        <w:rPr>
          <w:sz w:val="16"/>
        </w:rPr>
      </w:pPr>
      <w:r>
        <w:rPr>
          <w:sz w:val="16"/>
        </w:rPr>
      </w:r>
    </w:p>
    <w:p>
      <w:pPr>
        <w:pStyle w:val="BodyText"/>
        <w:jc w:val="both"/>
        <w:rPr>
          <w:sz w:val="16"/>
        </w:rPr>
      </w:pPr>
      <w:r>
        <w:rPr>
          <w:sz w:val="16"/>
        </w:rPr>
      </w:r>
    </w:p>
    <w:p>
      <w:pPr>
        <w:pStyle w:val="BodyText"/>
        <w:jc w:val="both"/>
        <w:rPr>
          <w:sz w:val="16"/>
        </w:rPr>
      </w:pPr>
      <w:r>
        <w:rPr>
          <w:sz w:val="16"/>
        </w:rPr>
      </w:r>
    </w:p>
    <w:p>
      <w:pPr>
        <w:pStyle w:val="BodyText"/>
        <w:jc w:val="both"/>
        <w:rPr>
          <w:sz w:val="16"/>
        </w:rPr>
      </w:pPr>
      <w:r>
        <w:rPr>
          <w:sz w:val="16"/>
        </w:rPr>
      </w:r>
    </w:p>
    <w:p>
      <w:pPr>
        <w:pStyle w:val="BodyText"/>
        <w:jc w:val="both"/>
        <w:rPr>
          <w:sz w:val="16"/>
        </w:rPr>
      </w:pPr>
      <w:r>
        <w:rPr>
          <w:sz w:val="16"/>
        </w:rPr>
        <w:t>Austin:145448 v 2</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 xml:space="preserve">- </w:t>
    </w:r>
    <w:r>
      <w:rPr/>
      <w:fldChar w:fldCharType="begin"/>
    </w:r>
    <w:r>
      <w:rPr/>
      <w:instrText xml:space="preserve"> PAGE </w:instrText>
    </w:r>
    <w:r>
      <w:rPr/>
      <w:fldChar w:fldCharType="separate"/>
    </w:r>
    <w:r>
      <w:rPr/>
      <w:t>16</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i/>
        </w:rPr>
        <w:t>See, e.g., Simmons and Simmons Construction Co. v. W.L. REA</w:t>
      </w:r>
      <w:r>
        <w:rPr/>
        <w:t>, 286 S.W.2d 415, 358 (Tex. 1955) (“So far as the common law is concerned, the making of a valid contract requires no writing whatever; and even if there is a writing, there need be no signatures unless the parties have made them necessary at the time they express their assent. . . .”);</w:t>
      </w:r>
      <w:r>
        <w:rPr>
          <w:i/>
        </w:rPr>
        <w:t xml:space="preserve"> Ishin Speed Sport, Inc. v. Rutherford</w:t>
      </w:r>
      <w:r>
        <w:rPr/>
        <w:t xml:space="preserve">, 933 S.W.2d 343, 348 (Tex. App. Dallas 1996, no writ) (“[E]ven if offer and acceptance are not recorded on paper, dealings between parties may result in an implied contract where the facts show that the minds of the parties met on the terms of the contract without any legally expressed agreement.”); </w:t>
      </w:r>
      <w:r>
        <w:rPr>
          <w:i/>
        </w:rPr>
        <w:t>Cothron Aviation, Inc. v. AVCO Corp.</w:t>
      </w:r>
      <w:r>
        <w:rPr/>
        <w:t>, 843 S.W.2d 260, 264 (Tex. App. Fort Worth 1992, writ denied) (“‘[A] writing is necessary only when at least one of the parties has sufficiently expressed his intention not to be bound without one. . . .  If the reduction of the agreement to writing is thus made necessary, an assent to the writing as a sufficient one must also be manifested; this manifestation commonly consists of signing and delivery.’”)</w:t>
      </w:r>
    </w:p>
  </w:footnote>
  <w:footnote w:id="3">
    <w:p>
      <w:pPr>
        <w:pStyle w:val="FootnoteText"/>
        <w:jc w:val="both"/>
        <w:rPr/>
      </w:pPr>
      <w:r>
        <w:rPr>
          <w:rStyle w:val="FootnoteCharacters"/>
        </w:rPr>
        <w:footnoteRef/>
      </w:r>
      <w:r>
        <w:rPr/>
        <w:t xml:space="preserve"> </w:t>
      </w:r>
      <w:r>
        <w:rPr>
          <w:i/>
        </w:rPr>
        <w:t xml:space="preserve">See, e.g., </w:t>
      </w:r>
      <w:r>
        <w:rPr/>
        <w:t>Legal Response to Commercial Transactions Employing Novel Communications Media, 90 Mich. L. Rev. 1145, 1150 (1992) (reciting instances where an eggshell, a corn bin, a bed post, a sailor’s identification disk, a tractor fender, a door, a collar box, and a wrapping box have been accepted by courts as writings).</w:t>
      </w:r>
    </w:p>
  </w:footnote>
  <w:footnote w:id="4">
    <w:p>
      <w:pPr>
        <w:pStyle w:val="FootnoteText"/>
        <w:jc w:val="both"/>
        <w:rPr/>
      </w:pPr>
      <w:r>
        <w:rPr>
          <w:rStyle w:val="FootnoteCharacters"/>
        </w:rPr>
        <w:footnoteRef/>
      </w:r>
      <w:r>
        <w:rPr/>
        <w:t xml:space="preserve"> </w:t>
      </w:r>
      <w:r>
        <w:rPr>
          <w:i/>
        </w:rPr>
        <w:t>See, e.g., Simmons</w:t>
      </w:r>
      <w:r>
        <w:rPr/>
        <w:t>, 286 S.W.2d at 358 (“All that is necessary to the creation of an informal contract, whether reduced to writing or not, is an expression of assent in any form. . . . [A] signature is not necessary. . . . It is an expression of assent that is required.”)</w:t>
      </w:r>
    </w:p>
  </w:footnote>
  <w:footnote w:id="5">
    <w:p>
      <w:pPr>
        <w:pStyle w:val="FootnoteText"/>
        <w:rPr/>
      </w:pPr>
      <w:r>
        <w:rPr>
          <w:rStyle w:val="FootnoteCharacters"/>
        </w:rPr>
        <w:footnoteRef/>
      </w:r>
      <w:r>
        <w:rPr/>
        <w:t xml:space="preserve"> </w:t>
      </w:r>
      <w:r>
        <w:rPr>
          <w:i/>
        </w:rPr>
        <w:t>See id.</w:t>
      </w:r>
      <w:r>
        <w:rPr/>
        <w:t xml:space="preserve"> (noting that assent “commonly consists of signing and delivery.”)  </w:t>
      </w:r>
    </w:p>
  </w:footnote>
  <w:footnote w:id="6">
    <w:p>
      <w:pPr>
        <w:pStyle w:val="FootnoteText"/>
        <w:jc w:val="both"/>
        <w:rPr/>
      </w:pPr>
      <w:r>
        <w:rPr>
          <w:rStyle w:val="FootnoteCharacters"/>
        </w:rPr>
        <w:footnoteRef/>
      </w:r>
      <w:r>
        <w:rPr/>
        <w:t xml:space="preserve"> </w:t>
      </w:r>
      <w:r>
        <w:rPr>
          <w:i/>
        </w:rPr>
        <w:t>See, e.g., Wiley v. Bertelsen</w:t>
      </w:r>
      <w:r>
        <w:rPr/>
        <w:t xml:space="preserve">, 770 S.W.2d 878, 882 (Tex. App. Texarkana 1989, no writ) (“It is not enough that one party thinks that he has made a contract; he must show that the intentions of the parties to make a contract have been expressed in a manner that the court is capable of understanding.”). </w:t>
      </w:r>
    </w:p>
  </w:footnote>
  <w:footnote w:id="7">
    <w:p>
      <w:pPr>
        <w:pStyle w:val="FootnoteText"/>
        <w:rPr/>
      </w:pPr>
      <w:r>
        <w:rPr>
          <w:rStyle w:val="FootnoteCharacters"/>
        </w:rPr>
        <w:footnoteRef/>
      </w:r>
      <w:r>
        <w:rPr/>
        <w:t xml:space="preserve"> </w:t>
      </w:r>
      <w:r>
        <w:rPr/>
        <w:t>Electronic Signatures in Global and National Commerce Act, Pub. L. No. 106-229, § 101(a), 114 Stat. 464 (2000).</w:t>
      </w:r>
    </w:p>
  </w:footnote>
  <w:footnote w:id="8">
    <w:p>
      <w:pPr>
        <w:pStyle w:val="FootnoteText"/>
        <w:rPr/>
      </w:pPr>
      <w:r>
        <w:rPr>
          <w:rStyle w:val="FootnoteCharacters"/>
        </w:rPr>
        <w:footnoteRef/>
      </w:r>
      <w:r>
        <w:rPr/>
        <w:t xml:space="preserve"> </w:t>
      </w:r>
      <w:r>
        <w:rPr>
          <w:i/>
        </w:rPr>
        <w:t>See id</w:t>
      </w:r>
      <w:r>
        <w:rPr/>
        <w:t>.</w:t>
      </w:r>
    </w:p>
  </w:footnote>
  <w:footnote w:id="9">
    <w:p>
      <w:pPr>
        <w:pStyle w:val="FootnoteText"/>
        <w:rPr/>
      </w:pPr>
      <w:r>
        <w:rPr>
          <w:rStyle w:val="FootnoteCharacters"/>
        </w:rPr>
        <w:footnoteRef/>
      </w:r>
      <w:r>
        <w:rPr/>
        <w:t xml:space="preserve"> </w:t>
      </w:r>
      <w:r>
        <w:rPr>
          <w:i/>
        </w:rPr>
        <w:t>See id</w:t>
      </w:r>
      <w:r>
        <w:rPr/>
        <w:t>.</w:t>
      </w:r>
    </w:p>
  </w:footnote>
  <w:footnote w:id="10">
    <w:p>
      <w:pPr>
        <w:pStyle w:val="FootnoteText"/>
        <w:rPr/>
      </w:pPr>
      <w:r>
        <w:rPr>
          <w:rStyle w:val="FootnoteCharacters"/>
        </w:rPr>
        <w:footnoteRef/>
      </w:r>
      <w:r>
        <w:rPr/>
        <w:t xml:space="preserve"> </w:t>
      </w:r>
      <w:r>
        <w:rPr>
          <w:i/>
        </w:rPr>
        <w:t>See id.</w:t>
      </w:r>
      <w:r>
        <w:rPr/>
        <w:t xml:space="preserve"> § 106(4).</w:t>
      </w:r>
    </w:p>
  </w:footnote>
  <w:footnote w:id="11">
    <w:p>
      <w:pPr>
        <w:pStyle w:val="FootnoteText"/>
        <w:rPr/>
      </w:pPr>
      <w:r>
        <w:rPr>
          <w:rStyle w:val="FootnoteCharacters"/>
        </w:rPr>
        <w:footnoteRef/>
      </w:r>
      <w:r>
        <w:rPr/>
        <w:t xml:space="preserve"> </w:t>
      </w:r>
      <w:r>
        <w:rPr>
          <w:i/>
        </w:rPr>
        <w:t>See id</w:t>
      </w:r>
      <w:r>
        <w:rPr/>
        <w:t>. § 106(5).</w:t>
      </w:r>
    </w:p>
  </w:footnote>
  <w:footnote w:id="12">
    <w:p>
      <w:pPr>
        <w:pStyle w:val="FootnoteText"/>
        <w:rPr/>
      </w:pPr>
      <w:r>
        <w:rPr>
          <w:rStyle w:val="FootnoteCharacters"/>
        </w:rPr>
        <w:footnoteRef/>
      </w:r>
      <w:r>
        <w:rPr/>
        <w:t xml:space="preserve"> </w:t>
      </w:r>
      <w:r>
        <w:rPr>
          <w:i/>
        </w:rPr>
        <w:t>See id</w:t>
      </w:r>
      <w:r>
        <w:rPr/>
        <w:t>. § 101(c)(1).</w:t>
      </w:r>
    </w:p>
  </w:footnote>
  <w:footnote w:id="13">
    <w:p>
      <w:pPr>
        <w:pStyle w:val="FootnoteText"/>
        <w:rPr/>
      </w:pPr>
      <w:r>
        <w:rPr>
          <w:rStyle w:val="FootnoteCharacters"/>
        </w:rPr>
        <w:footnoteRef/>
      </w:r>
      <w:r>
        <w:rPr/>
        <w:t xml:space="preserve"> </w:t>
      </w:r>
      <w:r>
        <w:rPr>
          <w:i/>
        </w:rPr>
        <w:t>See id</w:t>
      </w:r>
      <w:r>
        <w:rPr/>
        <w:t>. § 101(c)(3).</w:t>
      </w:r>
    </w:p>
  </w:footnote>
  <w:footnote w:id="14">
    <w:p>
      <w:pPr>
        <w:pStyle w:val="FootnoteText"/>
        <w:rPr/>
      </w:pPr>
      <w:r>
        <w:rPr>
          <w:rStyle w:val="FootnoteCharacters"/>
        </w:rPr>
        <w:footnoteRef/>
      </w:r>
      <w:r>
        <w:rPr/>
        <w:t xml:space="preserve"> </w:t>
      </w:r>
      <w:r>
        <w:rPr>
          <w:i/>
        </w:rPr>
        <w:t>See id</w:t>
      </w:r>
      <w:r>
        <w:rPr/>
        <w:t>. § 101(c)(6).</w:t>
      </w:r>
    </w:p>
  </w:footnote>
  <w:footnote w:id="15">
    <w:p>
      <w:pPr>
        <w:pStyle w:val="FootnoteText"/>
        <w:rPr/>
      </w:pPr>
      <w:r>
        <w:rPr>
          <w:rStyle w:val="FootnoteCharacters"/>
        </w:rPr>
        <w:footnoteRef/>
      </w:r>
      <w:r>
        <w:rPr/>
        <w:t xml:space="preserve"> </w:t>
      </w:r>
      <w:r>
        <w:rPr>
          <w:i/>
        </w:rPr>
        <w:t>See id</w:t>
      </w:r>
      <w:r>
        <w:rPr/>
        <w:t>. § 201.</w:t>
      </w:r>
    </w:p>
  </w:footnote>
  <w:footnote w:id="16">
    <w:p>
      <w:pPr>
        <w:pStyle w:val="FootnoteText"/>
        <w:rPr/>
      </w:pPr>
      <w:r>
        <w:rPr>
          <w:rStyle w:val="FootnoteCharacters"/>
        </w:rPr>
        <w:footnoteRef/>
      </w:r>
      <w:r>
        <w:rPr/>
        <w:t xml:space="preserve"> </w:t>
      </w:r>
      <w:r>
        <w:rPr>
          <w:i/>
        </w:rPr>
        <w:t>See id</w:t>
      </w:r>
      <w:r>
        <w:rPr/>
        <w:t>. § 101(d) – (j).</w:t>
      </w:r>
    </w:p>
  </w:footnote>
  <w:footnote w:id="17">
    <w:p>
      <w:pPr>
        <w:pStyle w:val="FootnoteText"/>
        <w:rPr/>
      </w:pPr>
      <w:r>
        <w:rPr>
          <w:rStyle w:val="FootnoteCharacters"/>
        </w:rPr>
        <w:footnoteRef/>
      </w:r>
      <w:r>
        <w:rPr/>
        <w:t xml:space="preserve"> </w:t>
      </w:r>
      <w:r>
        <w:rPr>
          <w:i/>
        </w:rPr>
        <w:t>See id</w:t>
      </w:r>
      <w:r>
        <w:rPr/>
        <w:t>. § 102.</w:t>
      </w:r>
    </w:p>
  </w:footnote>
  <w:footnote w:id="18">
    <w:p>
      <w:pPr>
        <w:pStyle w:val="FootnoteText"/>
        <w:rPr/>
      </w:pPr>
      <w:r>
        <w:rPr>
          <w:rStyle w:val="FootnoteCharacters"/>
        </w:rPr>
        <w:footnoteRef/>
      </w:r>
      <w:r>
        <w:rPr/>
        <w:t xml:space="preserve"> </w:t>
      </w:r>
      <w:r>
        <w:rPr>
          <w:i/>
        </w:rPr>
        <w:t>See id</w:t>
      </w:r>
      <w:r>
        <w:rPr/>
        <w:t>. §§ 103(a)(1), (2).</w:t>
      </w:r>
    </w:p>
  </w:footnote>
  <w:footnote w:id="19">
    <w:p>
      <w:pPr>
        <w:pStyle w:val="FootnoteText"/>
        <w:rPr/>
      </w:pPr>
      <w:r>
        <w:rPr>
          <w:rStyle w:val="FootnoteCharacters"/>
        </w:rPr>
        <w:footnoteRef/>
      </w:r>
      <w:r>
        <w:rPr/>
        <w:t xml:space="preserve"> </w:t>
      </w:r>
      <w:r>
        <w:rPr>
          <w:i/>
        </w:rPr>
        <w:t>See id</w:t>
      </w:r>
      <w:r>
        <w:rPr/>
        <w:t>. § 103(b).</w:t>
      </w:r>
    </w:p>
  </w:footnote>
  <w:footnote w:id="20">
    <w:p>
      <w:pPr>
        <w:pStyle w:val="FootnoteText"/>
        <w:rPr/>
      </w:pPr>
      <w:r>
        <w:rPr>
          <w:rStyle w:val="FootnoteCharacters"/>
        </w:rPr>
        <w:footnoteRef/>
      </w:r>
      <w:r>
        <w:rPr/>
        <w:t xml:space="preserve"> </w:t>
      </w:r>
      <w:r>
        <w:rPr>
          <w:i/>
        </w:rPr>
        <w:t>See id</w:t>
      </w:r>
      <w:r>
        <w:rPr/>
        <w:t>. § 103.</w:t>
      </w:r>
    </w:p>
  </w:footnote>
  <w:footnote w:id="21">
    <w:p>
      <w:pPr>
        <w:pStyle w:val="FootnoteText"/>
        <w:rPr/>
      </w:pPr>
      <w:r>
        <w:rPr>
          <w:rStyle w:val="FootnoteCharacters"/>
        </w:rPr>
        <w:footnoteRef/>
      </w:r>
      <w:r>
        <w:rPr/>
        <w:t xml:space="preserve"> </w:t>
      </w:r>
      <w:r>
        <w:rPr>
          <w:i/>
        </w:rPr>
        <w:t>See id</w:t>
      </w:r>
      <w:r>
        <w:rPr/>
        <w:t>. § 107.</w:t>
      </w:r>
    </w:p>
  </w:footnote>
  <w:footnote w:id="22">
    <w:p>
      <w:pPr>
        <w:pStyle w:val="FootnoteText"/>
        <w:rPr/>
      </w:pPr>
      <w:r>
        <w:rPr>
          <w:rStyle w:val="FootnoteCharacters"/>
        </w:rPr>
        <w:footnoteRef/>
      </w:r>
      <w:r>
        <w:rPr/>
        <w:t xml:space="preserve"> </w:t>
      </w:r>
      <w:r>
        <w:rPr>
          <w:i/>
        </w:rPr>
        <w:t>See id</w:t>
      </w:r>
      <w:r>
        <w:rPr/>
        <w:t>. § 2.201(a).</w:t>
      </w:r>
    </w:p>
  </w:footnote>
  <w:footnote w:id="23">
    <w:p>
      <w:pPr>
        <w:pStyle w:val="FootnoteText"/>
        <w:rPr/>
      </w:pPr>
      <w:r>
        <w:rPr>
          <w:rStyle w:val="FootnoteCharacters"/>
        </w:rPr>
        <w:footnoteRef/>
      </w:r>
      <w:r>
        <w:rPr/>
        <w:t xml:space="preserve"> </w:t>
      </w:r>
      <w:r>
        <w:rPr>
          <w:smallCaps/>
        </w:rPr>
        <w:t xml:space="preserve">Tex. Bus. &amp; Com. Code Ann. </w:t>
      </w:r>
      <w:r>
        <w:rPr/>
        <w:t>§ 2.108(a) (Vernon 1999).</w:t>
      </w:r>
    </w:p>
  </w:footnote>
  <w:footnote w:id="24">
    <w:p>
      <w:pPr>
        <w:pStyle w:val="FootnoteText"/>
        <w:rPr/>
      </w:pPr>
      <w:r>
        <w:rPr>
          <w:rStyle w:val="FootnoteCharacters"/>
        </w:rPr>
        <w:footnoteRef/>
      </w:r>
      <w:r>
        <w:rPr/>
        <w:t xml:space="preserve"> </w:t>
      </w:r>
      <w:r>
        <w:rPr>
          <w:i/>
        </w:rPr>
        <w:t>See id</w:t>
      </w:r>
      <w:r>
        <w:rPr/>
        <w:t>. § 2.108(d).</w:t>
      </w:r>
    </w:p>
  </w:footnote>
  <w:footnote w:id="25">
    <w:p>
      <w:pPr>
        <w:pStyle w:val="FootnoteText"/>
        <w:rPr/>
      </w:pPr>
      <w:r>
        <w:rPr>
          <w:rStyle w:val="FootnoteCharacters"/>
        </w:rPr>
        <w:footnoteRef/>
      </w:r>
      <w:r>
        <w:rPr/>
        <w:t xml:space="preserve"> </w:t>
      </w:r>
      <w:r>
        <w:rPr>
          <w:i/>
        </w:rPr>
        <w:t>See id</w:t>
      </w:r>
      <w:r>
        <w:rPr/>
        <w:t>. § 2A.102.</w:t>
      </w:r>
    </w:p>
  </w:footnote>
  <w:footnote w:id="26">
    <w:p>
      <w:pPr>
        <w:pStyle w:val="FootnoteText"/>
        <w:rPr/>
      </w:pPr>
      <w:r>
        <w:rPr>
          <w:rStyle w:val="FootnoteCharacters"/>
        </w:rPr>
        <w:footnoteRef/>
      </w:r>
      <w:r>
        <w:rPr/>
        <w:t xml:space="preserve"> </w:t>
      </w:r>
      <w:r>
        <w:rPr>
          <w:i/>
        </w:rPr>
        <w:t>See id</w:t>
      </w:r>
      <w:r>
        <w:rPr/>
        <w:t>. § 2A.110(a).</w:t>
      </w:r>
    </w:p>
  </w:footnote>
  <w:footnote w:id="27">
    <w:p>
      <w:pPr>
        <w:pStyle w:val="FootnoteText"/>
        <w:rPr/>
      </w:pPr>
      <w:r>
        <w:rPr>
          <w:rStyle w:val="FootnoteCharacters"/>
        </w:rPr>
        <w:footnoteRef/>
      </w:r>
      <w:r>
        <w:rPr/>
        <w:t xml:space="preserve"> </w:t>
      </w:r>
      <w:r>
        <w:rPr>
          <w:i/>
        </w:rPr>
        <w:t>See id</w:t>
      </w:r>
      <w:r>
        <w:rPr/>
        <w:t>. § 2A.110(d).</w:t>
      </w:r>
    </w:p>
  </w:footnote>
  <w:footnote w:id="28">
    <w:p>
      <w:pPr>
        <w:pStyle w:val="FootnoteText"/>
        <w:rPr/>
      </w:pPr>
      <w:r>
        <w:rPr>
          <w:rStyle w:val="FootnoteCharacters"/>
        </w:rPr>
        <w:footnoteRef/>
      </w:r>
      <w:r>
        <w:rPr/>
        <w:t xml:space="preserve"> </w:t>
      </w:r>
      <w:r>
        <w:rPr>
          <w:i/>
        </w:rPr>
        <w:t>See id</w:t>
      </w:r>
      <w:r>
        <w:rPr/>
        <w:t>. § 9.102(a).</w:t>
      </w:r>
    </w:p>
  </w:footnote>
  <w:footnote w:id="29">
    <w:p>
      <w:pPr>
        <w:pStyle w:val="FootnoteText"/>
        <w:rPr/>
      </w:pPr>
      <w:r>
        <w:rPr>
          <w:rStyle w:val="FootnoteCharacters"/>
        </w:rPr>
        <w:footnoteRef/>
      </w:r>
      <w:r>
        <w:rPr/>
        <w:t xml:space="preserve"> </w:t>
      </w:r>
      <w:r>
        <w:rPr>
          <w:i/>
        </w:rPr>
        <w:t>See id</w:t>
      </w:r>
      <w:r>
        <w:rPr/>
        <w:t>. § 9.105(12).</w:t>
      </w:r>
    </w:p>
  </w:footnote>
  <w:footnote w:id="30">
    <w:p>
      <w:pPr>
        <w:pStyle w:val="FootnoteText"/>
        <w:rPr/>
      </w:pPr>
      <w:r>
        <w:rPr>
          <w:rStyle w:val="FootnoteCharacters"/>
        </w:rPr>
        <w:footnoteRef/>
      </w:r>
      <w:r>
        <w:rPr/>
        <w:t xml:space="preserve"> </w:t>
      </w:r>
      <w:r>
        <w:rPr>
          <w:i/>
        </w:rPr>
        <w:t>See id</w:t>
      </w:r>
      <w:r>
        <w:rPr/>
        <w:t>. § 9.203(a)(1).</w:t>
      </w:r>
    </w:p>
  </w:footnote>
  <w:footnote w:id="31">
    <w:p>
      <w:pPr>
        <w:pStyle w:val="FootnoteText"/>
        <w:rPr/>
      </w:pPr>
      <w:r>
        <w:rPr>
          <w:rStyle w:val="FootnoteCharacters"/>
        </w:rPr>
        <w:footnoteRef/>
      </w:r>
      <w:r>
        <w:rPr/>
        <w:t xml:space="preserve"> </w:t>
      </w:r>
      <w:r>
        <w:rPr>
          <w:i/>
        </w:rPr>
        <w:t>See id</w:t>
      </w:r>
      <w:r>
        <w:rPr/>
        <w:t>. § 9.203(f).</w:t>
      </w:r>
    </w:p>
  </w:footnote>
  <w:footnote w:id="32">
    <w:p>
      <w:pPr>
        <w:pStyle w:val="FootnoteText"/>
        <w:rPr/>
      </w:pPr>
      <w:r>
        <w:rPr>
          <w:rStyle w:val="FootnoteCharacters"/>
        </w:rPr>
        <w:footnoteRef/>
      </w:r>
      <w:r>
        <w:rPr/>
        <w:t xml:space="preserve"> </w:t>
      </w:r>
      <w:r>
        <w:rPr>
          <w:i/>
        </w:rPr>
        <w:t>Id</w:t>
      </w:r>
      <w:r>
        <w:rPr/>
        <w:t>.</w:t>
      </w:r>
    </w:p>
  </w:footnote>
  <w:footnote w:id="33">
    <w:p>
      <w:pPr>
        <w:pStyle w:val="FootnoteText"/>
        <w:rPr/>
      </w:pPr>
      <w:r>
        <w:rPr>
          <w:rStyle w:val="FootnoteCharacters"/>
        </w:rPr>
        <w:footnoteRef/>
      </w:r>
      <w:r>
        <w:rPr/>
        <w:t xml:space="preserve"> </w:t>
      </w:r>
      <w:r>
        <w:rPr>
          <w:i/>
        </w:rPr>
        <w:t>See id</w:t>
      </w:r>
      <w:r>
        <w:rPr/>
        <w:t>. § 35.531(b).</w:t>
      </w:r>
    </w:p>
  </w:footnote>
  <w:footnote w:id="34">
    <w:p>
      <w:pPr>
        <w:pStyle w:val="FootnoteText"/>
        <w:rPr/>
      </w:pPr>
      <w:r>
        <w:rPr>
          <w:rStyle w:val="FootnoteCharacters"/>
        </w:rPr>
        <w:footnoteRef/>
      </w:r>
      <w:r>
        <w:rPr/>
        <w:t xml:space="preserve"> </w:t>
      </w:r>
      <w:r>
        <w:rPr>
          <w:i/>
        </w:rPr>
        <w:t>See id</w:t>
      </w:r>
      <w:r>
        <w:rPr/>
        <w:t>. § 35.531 (c).</w:t>
      </w:r>
    </w:p>
  </w:footnote>
  <w:footnote w:id="35">
    <w:p>
      <w:pPr>
        <w:pStyle w:val="FootnoteText"/>
        <w:rPr/>
      </w:pPr>
      <w:r>
        <w:rPr>
          <w:rStyle w:val="FootnoteCharacters"/>
        </w:rPr>
        <w:footnoteRef/>
      </w:r>
      <w:r>
        <w:rPr/>
        <w:t xml:space="preserve"> </w:t>
      </w:r>
      <w:r>
        <w:rPr>
          <w:i/>
        </w:rPr>
        <w:t>See id</w:t>
      </w:r>
      <w:r>
        <w:rPr/>
        <w:t>. § 35.531 (d).</w:t>
      </w:r>
    </w:p>
  </w:footnote>
  <w:footnote w:id="36">
    <w:p>
      <w:pPr>
        <w:pStyle w:val="FootnoteText"/>
        <w:rPr/>
      </w:pPr>
      <w:r>
        <w:rPr>
          <w:rStyle w:val="FootnoteCharacters"/>
        </w:rPr>
        <w:footnoteRef/>
      </w:r>
      <w:r>
        <w:rPr/>
        <w:t xml:space="preserve"> </w:t>
      </w:r>
      <w:r>
        <w:rPr>
          <w:i/>
        </w:rPr>
        <w:t>Id.</w:t>
      </w:r>
    </w:p>
  </w:footnote>
  <w:footnote w:id="37">
    <w:p>
      <w:pPr>
        <w:pStyle w:val="FootnoteText"/>
        <w:rPr/>
      </w:pPr>
      <w:r>
        <w:rPr>
          <w:rStyle w:val="FootnoteCharacters"/>
        </w:rPr>
        <w:footnoteRef/>
      </w:r>
      <w:r>
        <w:rPr/>
        <w:t xml:space="preserve"> </w:t>
      </w:r>
      <w:r>
        <w:rPr>
          <w:i/>
        </w:rPr>
        <w:t>See id</w:t>
      </w:r>
      <w:r>
        <w:rPr/>
        <w:t>. § 35.51.</w:t>
      </w:r>
    </w:p>
  </w:footnote>
  <w:footnote w:id="38">
    <w:p>
      <w:pPr>
        <w:pStyle w:val="BodyText"/>
        <w:ind w:firstLine="720" w:end="0"/>
        <w:jc w:val="both"/>
        <w:rPr/>
      </w:pPr>
      <w:r>
        <w:rPr>
          <w:rStyle w:val="FootnoteCharacters"/>
        </w:rPr>
        <w:footnoteRef/>
      </w:r>
      <w:r>
        <w:rPr>
          <w:sz w:val="20"/>
        </w:rPr>
        <w:t xml:space="preserve"> </w:t>
      </w:r>
      <w:r>
        <w:rPr>
          <w:smallCaps/>
          <w:sz w:val="20"/>
        </w:rPr>
        <w:t>Tex. Gov’t Code Ann.</w:t>
      </w:r>
      <w:r>
        <w:rPr>
          <w:sz w:val="20"/>
        </w:rPr>
        <w:t xml:space="preserve"> § 2054.001(b) (Vernon 1999).  The Department of Information Resources promulgated a rule regarding digital signatures (the “Rule”).  The Rule is noteworthy for its listing of acceptable technologies for use by state agencies in creating digital signatures.  The short list of acceptable technologies includes Public Key Cryptography and Signature Dynamics.</w:t>
      </w:r>
      <w:r>
        <w:rPr>
          <w:rStyle w:val="FootnoteCharacters"/>
          <w:sz w:val="20"/>
        </w:rPr>
        <w:t>?</w:t>
      </w:r>
      <w:r>
        <w:rPr>
          <w:sz w:val="20"/>
        </w:rPr>
        <w:t xml:space="preserve">  Public Key Cryptography is a type of cryptographic technology that employs a computer-based system that uses two different but mathematically related keys with the following characteristics:  (i) one key encrypts a message, (ii) one key decrypts a message, and (iii) the keys have the property that, knowing one key, it is computationally infeasible to discover the other key.</w:t>
      </w:r>
      <w:r>
        <w:rPr>
          <w:rStyle w:val="FootnoteCharacters"/>
          <w:sz w:val="20"/>
        </w:rPr>
        <w:t>?</w:t>
      </w:r>
      <w:r>
        <w:rPr>
          <w:sz w:val="20"/>
        </w:rPr>
        <w:t xml:space="preserve">  Signature Dynamics is a process for measuring the way an individual writes his or her signature by hand on a flat surface and binding the measurements to a message through the use of cryptographic techniques.</w:t>
      </w:r>
      <w:r>
        <w:rPr>
          <w:rStyle w:val="FootnoteCharacters"/>
          <w:sz w:val="20"/>
        </w:rPr>
        <w:t>?</w:t>
      </w:r>
      <w:r>
        <w:rPr>
          <w:sz w:val="20"/>
        </w:rPr>
        <w:t xml:space="preserve">  The DIR published, on the Internet, its guidelines for Public Key Cryptography, including a list of approved Public Key Infrastructure service providers.  These guidelines are available at </w:t>
      </w:r>
      <w:hyperlink r:id="rId1">
        <w:r>
          <w:rPr>
            <w:rStyle w:val="Hyperlink"/>
            <w:sz w:val="20"/>
          </w:rPr>
          <w:t>www.state.tx.us/Standards/srrpub13.htm</w:t>
        </w:r>
      </w:hyperlink>
      <w:r>
        <w:rPr>
          <w:sz w:val="20"/>
        </w:rPr>
        <w:t>.</w:t>
      </w:r>
    </w:p>
  </w:footnote>
  <w:footnote w:id="39">
    <w:p>
      <w:pPr>
        <w:pStyle w:val="FootnoteText"/>
        <w:rPr/>
      </w:pPr>
      <w:r>
        <w:rPr>
          <w:rStyle w:val="FootnoteCharacters"/>
        </w:rPr>
        <w:footnoteRef/>
      </w:r>
      <w:r>
        <w:rPr/>
        <w:t xml:space="preserve"> </w:t>
      </w:r>
      <w:r>
        <w:rPr>
          <w:i/>
        </w:rPr>
        <w:t>See id</w:t>
      </w:r>
      <w:r>
        <w:rPr/>
        <w:t>.  §§ 2054.060(a) - (b).</w:t>
      </w:r>
    </w:p>
  </w:footnote>
  <w:footnote w:id="40">
    <w:p>
      <w:pPr>
        <w:pStyle w:val="FootnoteText"/>
        <w:rPr/>
      </w:pPr>
      <w:r>
        <w:rPr>
          <w:rStyle w:val="FootnoteCharacters"/>
        </w:rPr>
        <w:footnoteRef/>
      </w:r>
      <w:r>
        <w:rPr/>
        <w:t xml:space="preserve"> </w:t>
      </w:r>
      <w:r>
        <w:rPr>
          <w:smallCaps/>
        </w:rPr>
        <w:t>N.Y. Electronic Signatures and Records Act</w:t>
      </w:r>
      <w:r>
        <w:rPr/>
        <w:t xml:space="preserve"> § 105.1 (McKinney 2000).</w:t>
      </w:r>
    </w:p>
  </w:footnote>
  <w:footnote w:id="41">
    <w:p>
      <w:pPr>
        <w:pStyle w:val="FootnoteText"/>
        <w:rPr/>
      </w:pPr>
      <w:r>
        <w:rPr>
          <w:rStyle w:val="FootnoteCharacters"/>
        </w:rPr>
        <w:footnoteRef/>
      </w:r>
      <w:r>
        <w:rPr/>
        <w:t xml:space="preserve"> </w:t>
      </w:r>
      <w:r>
        <w:rPr>
          <w:i/>
        </w:rPr>
        <w:t>See id.</w:t>
      </w:r>
      <w:r>
        <w:rPr/>
        <w:t xml:space="preserve"> § 103.</w:t>
      </w:r>
    </w:p>
  </w:footnote>
  <w:footnote w:id="42">
    <w:p>
      <w:pPr>
        <w:pStyle w:val="FootnoteText"/>
        <w:rPr/>
      </w:pPr>
      <w:r>
        <w:rPr>
          <w:rStyle w:val="FootnoteCharacters"/>
        </w:rPr>
        <w:footnoteRef/>
      </w:r>
      <w:r>
        <w:rPr/>
        <w:t xml:space="preserve"> </w:t>
      </w:r>
      <w:r>
        <w:rPr>
          <w:i/>
        </w:rPr>
        <w:t>See id</w:t>
      </w:r>
      <w:r>
        <w:rPr/>
        <w:t>. § 102.3.</w:t>
      </w:r>
    </w:p>
  </w:footnote>
  <w:footnote w:id="43">
    <w:p>
      <w:pPr>
        <w:pStyle w:val="FootnoteText"/>
        <w:rPr/>
      </w:pPr>
      <w:r>
        <w:rPr>
          <w:rStyle w:val="FootnoteCharacters"/>
        </w:rPr>
        <w:footnoteRef/>
      </w:r>
      <w:r>
        <w:rPr/>
        <w:t xml:space="preserve"> </w:t>
      </w:r>
      <w:r>
        <w:rPr>
          <w:i/>
        </w:rPr>
        <w:t>See id</w:t>
      </w:r>
      <w:r>
        <w:rPr/>
        <w:t>. § 107.</w:t>
      </w:r>
    </w:p>
  </w:footnote>
  <w:footnote w:id="44">
    <w:p>
      <w:pPr>
        <w:pStyle w:val="FootnoteText"/>
        <w:rPr/>
      </w:pPr>
      <w:r>
        <w:rPr>
          <w:rStyle w:val="FootnoteCharacters"/>
        </w:rPr>
        <w:footnoteRef/>
      </w:r>
      <w:r>
        <w:rPr/>
        <w:t xml:space="preserve"> </w:t>
      </w:r>
      <w:r>
        <w:rPr>
          <w:smallCaps/>
        </w:rPr>
        <w:t xml:space="preserve">N.Y. Comp. Codes R. &amp; Regs. </w:t>
      </w:r>
      <w:r>
        <w:rPr/>
        <w:t>tit. 9, § 540.1(a) (2000).</w:t>
      </w:r>
    </w:p>
  </w:footnote>
  <w:footnote w:id="45">
    <w:p>
      <w:pPr>
        <w:pStyle w:val="FootnoteText"/>
        <w:rPr/>
      </w:pPr>
      <w:r>
        <w:rPr>
          <w:rStyle w:val="FootnoteCharacters"/>
        </w:rPr>
        <w:footnoteRef/>
      </w:r>
      <w:r>
        <w:rPr/>
        <w:t xml:space="preserve"> </w:t>
      </w:r>
      <w:r>
        <w:rPr>
          <w:i/>
        </w:rPr>
        <w:t>See id</w:t>
      </w:r>
      <w:r>
        <w:rPr/>
        <w:t>. § 540.1(b).</w:t>
      </w:r>
    </w:p>
  </w:footnote>
  <w:footnote w:id="46">
    <w:p>
      <w:pPr>
        <w:pStyle w:val="FootnoteText"/>
        <w:rPr/>
      </w:pPr>
      <w:r>
        <w:rPr>
          <w:rStyle w:val="FootnoteCharacters"/>
        </w:rPr>
        <w:footnoteRef/>
      </w:r>
      <w:r>
        <w:rPr/>
        <w:t xml:space="preserve"> </w:t>
      </w:r>
      <w:r>
        <w:rPr>
          <w:i/>
        </w:rPr>
        <w:t>See id</w:t>
      </w:r>
      <w:r>
        <w:rPr/>
        <w:t>. § 540.4(a)(1).</w:t>
      </w:r>
    </w:p>
  </w:footnote>
  <w:footnote w:id="47">
    <w:p>
      <w:pPr>
        <w:pStyle w:val="FootnoteText"/>
        <w:rPr/>
      </w:pPr>
      <w:r>
        <w:rPr>
          <w:rStyle w:val="FootnoteCharacters"/>
        </w:rPr>
        <w:footnoteRef/>
      </w:r>
      <w:r>
        <w:rPr/>
        <w:t xml:space="preserve"> </w:t>
      </w:r>
      <w:r>
        <w:rPr>
          <w:i/>
        </w:rPr>
        <w:t>See id.</w:t>
      </w:r>
      <w:r>
        <w:rPr/>
        <w:t xml:space="preserve"> § 540.4(a)(3).</w:t>
      </w:r>
    </w:p>
  </w:footnote>
  <w:footnote w:id="48">
    <w:p>
      <w:pPr>
        <w:pStyle w:val="FootnoteText"/>
        <w:rPr/>
      </w:pPr>
      <w:r>
        <w:rPr>
          <w:rStyle w:val="FootnoteCharacters"/>
        </w:rPr>
        <w:footnoteRef/>
      </w:r>
      <w:r>
        <w:rPr/>
        <w:t xml:space="preserve"> </w:t>
      </w:r>
      <w:r>
        <w:rPr>
          <w:i/>
        </w:rPr>
        <w:t>See id</w:t>
      </w:r>
      <w:r>
        <w:rPr/>
        <w:t>. § 540.4(a)(4).</w:t>
      </w:r>
    </w:p>
  </w:footnote>
  <w:footnote w:id="49">
    <w:p>
      <w:pPr>
        <w:pStyle w:val="FootnoteText"/>
        <w:rPr/>
      </w:pPr>
      <w:r>
        <w:rPr>
          <w:rStyle w:val="FootnoteCharacters"/>
        </w:rPr>
        <w:footnoteRef/>
      </w:r>
      <w:r>
        <w:rPr/>
        <w:t xml:space="preserve"> </w:t>
      </w:r>
      <w:r>
        <w:rPr>
          <w:i/>
        </w:rPr>
        <w:t>See id</w:t>
      </w:r>
      <w:r>
        <w:rPr/>
        <w:t>. § 540.2(a).</w:t>
      </w:r>
    </w:p>
  </w:footnote>
  <w:footnote w:id="50">
    <w:p>
      <w:pPr>
        <w:pStyle w:val="FootnoteText"/>
        <w:rPr/>
      </w:pPr>
      <w:r>
        <w:rPr>
          <w:rStyle w:val="FootnoteCharacters"/>
        </w:rPr>
        <w:footnoteRef/>
      </w:r>
      <w:r>
        <w:rPr/>
        <w:t xml:space="preserve"> </w:t>
      </w:r>
      <w:r>
        <w:rPr>
          <w:i/>
        </w:rPr>
        <w:t>See id</w:t>
      </w:r>
      <w:r>
        <w:rPr/>
        <w:t>. § 540.4(b)(1).</w:t>
      </w:r>
    </w:p>
  </w:footnote>
  <w:footnote w:id="51">
    <w:p>
      <w:pPr>
        <w:pStyle w:val="FootnoteText"/>
        <w:rPr/>
      </w:pPr>
      <w:r>
        <w:rPr>
          <w:rStyle w:val="FootnoteCharacters"/>
        </w:rPr>
        <w:footnoteRef/>
      </w:r>
      <w:r>
        <w:rPr/>
        <w:t xml:space="preserve"> </w:t>
      </w:r>
      <w:r>
        <w:rPr>
          <w:i/>
        </w:rPr>
        <w:t>See id</w:t>
      </w:r>
      <w:r>
        <w:rPr/>
        <w:t>. § 540.4(b)(2).</w:t>
      </w:r>
    </w:p>
  </w:footnote>
  <w:footnote w:id="52">
    <w:p>
      <w:pPr>
        <w:pStyle w:val="FootnoteText"/>
        <w:rPr/>
      </w:pPr>
      <w:r>
        <w:rPr>
          <w:rStyle w:val="FootnoteCharacters"/>
        </w:rPr>
        <w:footnoteRef/>
      </w:r>
      <w:r>
        <w:rPr/>
        <w:t xml:space="preserve"> </w:t>
      </w:r>
      <w:r>
        <w:rPr/>
        <w:t xml:space="preserve">2000 Del. Laws 457 (H.B. 492) (to be codified at </w:t>
      </w:r>
      <w:r>
        <w:rPr>
          <w:smallCaps/>
        </w:rPr>
        <w:t>Del. Code Ann.</w:t>
      </w:r>
      <w:r>
        <w:rPr/>
        <w:t xml:space="preserve"> tit. 6, ch. 12A).</w:t>
      </w:r>
    </w:p>
  </w:footnote>
  <w:footnote w:id="53">
    <w:p>
      <w:pPr>
        <w:pStyle w:val="FootnoteText"/>
        <w:rPr/>
      </w:pPr>
      <w:r>
        <w:rPr>
          <w:rStyle w:val="FootnoteCharacters"/>
        </w:rPr>
        <w:footnoteRef/>
      </w:r>
      <w:r>
        <w:rPr/>
        <w:t xml:space="preserve"> </w:t>
      </w:r>
      <w:r>
        <w:rPr>
          <w:i/>
        </w:rPr>
        <w:t>See id</w:t>
      </w:r>
      <w:r>
        <w:rPr/>
        <w:t>. § 12A-103(b).</w:t>
      </w:r>
    </w:p>
  </w:footnote>
  <w:footnote w:id="54">
    <w:p>
      <w:pPr>
        <w:pStyle w:val="FootnoteText"/>
        <w:rPr/>
      </w:pPr>
      <w:r>
        <w:rPr>
          <w:rStyle w:val="FootnoteCharacters"/>
        </w:rPr>
        <w:footnoteRef/>
      </w:r>
      <w:r>
        <w:rPr/>
        <w:t xml:space="preserve"> </w:t>
      </w:r>
      <w:r>
        <w:rPr>
          <w:i/>
        </w:rPr>
        <w:t>See id</w:t>
      </w:r>
      <w:r>
        <w:rPr/>
        <w:t>. § 2A-117(a).</w:t>
      </w:r>
    </w:p>
  </w:footnote>
  <w:footnote w:id="55">
    <w:p>
      <w:pPr>
        <w:pStyle w:val="FootnoteText"/>
        <w:rPr/>
      </w:pPr>
      <w:r>
        <w:rPr>
          <w:rStyle w:val="FootnoteCharacters"/>
        </w:rPr>
        <w:footnoteRef/>
      </w:r>
      <w:r>
        <w:rPr/>
        <w:t xml:space="preserve"> </w:t>
      </w:r>
      <w:r>
        <w:rPr>
          <w:i/>
        </w:rPr>
        <w:t>Id</w:t>
      </w:r>
      <w:r>
        <w:rPr/>
        <w:t>.</w:t>
      </w:r>
    </w:p>
  </w:footnote>
  <w:footnote w:id="56">
    <w:p>
      <w:pPr>
        <w:pStyle w:val="FootnoteText"/>
        <w:rPr/>
      </w:pPr>
      <w:r>
        <w:rPr>
          <w:rStyle w:val="FootnoteCharacters"/>
        </w:rPr>
        <w:footnoteRef/>
      </w:r>
      <w:r>
        <w:rPr/>
        <w:t xml:space="preserve"> </w:t>
      </w:r>
      <w:r>
        <w:rPr>
          <w:i/>
        </w:rPr>
        <w:t>See id</w:t>
      </w:r>
      <w:r>
        <w:rPr/>
        <w:t>. § 2A-117(b).</w:t>
      </w:r>
    </w:p>
  </w:footnote>
  <w:footnote w:id="57">
    <w:p>
      <w:pPr>
        <w:pStyle w:val="FootnoteText"/>
        <w:jc w:val="both"/>
        <w:rPr/>
      </w:pPr>
      <w:r>
        <w:rPr>
          <w:rStyle w:val="FootnoteCharacters"/>
        </w:rPr>
        <w:footnoteRef/>
      </w:r>
      <w:r>
        <w:rPr/>
        <w:t xml:space="preserve"> </w:t>
      </w:r>
      <w:r>
        <w:rPr>
          <w:smallCaps/>
        </w:rPr>
        <w:t>Uniform Electronic Transactions Act</w:t>
      </w:r>
      <w:r>
        <w:rPr/>
        <w:t xml:space="preserve"> § 3(a) (1999).  The following states enacted UETA (effective dates in parentheses):  California (1/1/00), Florida (7/1/00), Hawaii (6/30/00), Indiana (7/1/00), Kansas (7/1/00), Kentucky (8/1/00), Maine (7/1/01), Maryland (10/1/00), Minnesota (8/1/00), Nebraska (3/30/00), North Carolina (10/1/00), Ohio (9/14/00), Oklahoma (11/1/00), Utah (5/1/00), and Virginia (7/1/01).</w:t>
      </w:r>
    </w:p>
  </w:footnote>
  <w:footnote w:id="58">
    <w:p>
      <w:pPr>
        <w:pStyle w:val="FootnoteText"/>
        <w:rPr/>
      </w:pPr>
      <w:r>
        <w:rPr>
          <w:rStyle w:val="FootnoteCharacters"/>
        </w:rPr>
        <w:footnoteRef/>
      </w:r>
      <w:r>
        <w:rPr/>
        <w:t xml:space="preserve"> </w:t>
      </w:r>
      <w:r>
        <w:rPr>
          <w:i/>
        </w:rPr>
        <w:t>See id</w:t>
      </w:r>
      <w:r>
        <w:rPr/>
        <w:t>. § 5(b).</w:t>
      </w:r>
    </w:p>
  </w:footnote>
  <w:footnote w:id="59">
    <w:p>
      <w:pPr>
        <w:pStyle w:val="FootnoteText"/>
        <w:rPr/>
      </w:pPr>
      <w:r>
        <w:rPr>
          <w:rStyle w:val="FootnoteCharacters"/>
        </w:rPr>
        <w:footnoteRef/>
      </w:r>
      <w:r>
        <w:rPr/>
        <w:t xml:space="preserve"> </w:t>
      </w:r>
      <w:r>
        <w:rPr>
          <w:i/>
        </w:rPr>
        <w:t>See id</w:t>
      </w:r>
      <w:r>
        <w:rPr/>
        <w:t>. cmt. 3.</w:t>
      </w:r>
    </w:p>
  </w:footnote>
  <w:footnote w:id="60">
    <w:p>
      <w:pPr>
        <w:pStyle w:val="FootnoteText"/>
        <w:rPr/>
      </w:pPr>
      <w:r>
        <w:rPr>
          <w:rStyle w:val="FootnoteCharacters"/>
        </w:rPr>
        <w:footnoteRef/>
      </w:r>
      <w:r>
        <w:rPr/>
        <w:t xml:space="preserve"> </w:t>
      </w:r>
      <w:r>
        <w:rPr>
          <w:i/>
        </w:rPr>
        <w:t>See id</w:t>
      </w:r>
      <w:r>
        <w:rPr/>
        <w:t>. § 7.</w:t>
      </w:r>
    </w:p>
  </w:footnote>
  <w:footnote w:id="61">
    <w:p>
      <w:pPr>
        <w:pStyle w:val="FootnoteText"/>
        <w:rPr/>
      </w:pPr>
      <w:r>
        <w:rPr>
          <w:rStyle w:val="FootnoteCharacters"/>
        </w:rPr>
        <w:footnoteRef/>
      </w:r>
      <w:r>
        <w:rPr/>
        <w:t xml:space="preserve"> </w:t>
      </w:r>
      <w:r>
        <w:rPr>
          <w:i/>
        </w:rPr>
        <w:t>See id</w:t>
      </w:r>
      <w:r>
        <w:rPr/>
        <w:t>. cmt. 3, illustration 1.</w:t>
      </w:r>
    </w:p>
  </w:footnote>
  <w:footnote w:id="62">
    <w:p>
      <w:pPr>
        <w:pStyle w:val="FootnoteText"/>
        <w:rPr/>
      </w:pPr>
      <w:r>
        <w:rPr>
          <w:rStyle w:val="FootnoteCharacters"/>
        </w:rPr>
        <w:footnoteRef/>
      </w:r>
      <w:r>
        <w:rPr/>
        <w:t xml:space="preserve"> </w:t>
      </w:r>
      <w:r>
        <w:rPr>
          <w:i/>
        </w:rPr>
        <w:t>See id</w:t>
      </w:r>
      <w:r>
        <w:rPr/>
        <w:t>. § 8(a).</w:t>
      </w:r>
    </w:p>
  </w:footnote>
  <w:footnote w:id="63">
    <w:p>
      <w:pPr>
        <w:pStyle w:val="FootnoteText"/>
        <w:rPr/>
      </w:pPr>
      <w:r>
        <w:rPr>
          <w:rStyle w:val="FootnoteCharacters"/>
        </w:rPr>
        <w:footnoteRef/>
      </w:r>
      <w:r>
        <w:rPr/>
        <w:t xml:space="preserve"> </w:t>
      </w:r>
      <w:r>
        <w:rPr>
          <w:i/>
        </w:rPr>
        <w:t>Id</w:t>
      </w:r>
      <w:r>
        <w:rPr/>
        <w:t>.</w:t>
      </w:r>
    </w:p>
  </w:footnote>
  <w:footnote w:id="64">
    <w:p>
      <w:pPr>
        <w:pStyle w:val="FootnoteText"/>
        <w:rPr/>
      </w:pPr>
      <w:r>
        <w:rPr>
          <w:rStyle w:val="FootnoteCharacters"/>
        </w:rPr>
        <w:footnoteRef/>
      </w:r>
      <w:r>
        <w:rPr/>
        <w:t xml:space="preserve"> </w:t>
      </w:r>
      <w:r>
        <w:rPr>
          <w:i/>
        </w:rPr>
        <w:t>See id</w:t>
      </w:r>
      <w:r>
        <w:rPr/>
        <w:t>. § 8(b).</w:t>
      </w:r>
    </w:p>
  </w:footnote>
  <w:footnote w:id="65">
    <w:p>
      <w:pPr>
        <w:pStyle w:val="FootnoteText"/>
        <w:rPr/>
      </w:pPr>
      <w:r>
        <w:rPr>
          <w:rStyle w:val="FootnoteCharacters"/>
        </w:rPr>
        <w:footnoteRef/>
      </w:r>
      <w:r>
        <w:rPr/>
        <w:t xml:space="preserve"> </w:t>
      </w:r>
      <w:r>
        <w:rPr>
          <w:i/>
        </w:rPr>
        <w:t>Id.</w:t>
      </w:r>
      <w:r>
        <w:rPr/>
        <w:t xml:space="preserve"> cmt. 4.</w:t>
      </w:r>
    </w:p>
  </w:footnote>
  <w:footnote w:id="66">
    <w:p>
      <w:pPr>
        <w:pStyle w:val="FootnoteText"/>
        <w:jc w:val="both"/>
        <w:rPr/>
      </w:pPr>
      <w:r>
        <w:rPr>
          <w:rStyle w:val="FootnoteCharacters"/>
        </w:rPr>
        <w:footnoteRef/>
      </w:r>
      <w:r>
        <w:rPr/>
        <w:t xml:space="preserve"> </w:t>
      </w:r>
      <w:r>
        <w:rPr>
          <w:i/>
        </w:rPr>
        <w:t>See id</w:t>
      </w:r>
      <w:r>
        <w:rPr/>
        <w:t xml:space="preserve">. § 3(b) (Articles 3, 4 and 4A of the UCC, which impact payment systems, were specifically excluded from the coverage of UETA because those systems affect more than the relationships between contracting parties.  Articles 5, 8 and 9 of the U.C.C. were excluded from the coverage of UETA because the revision processes relating to those Articles included consideration of electronic practices.  Notwithstanding the foregoing, certain transactions covered by the Articles mentioned could be covered by UETA; for example, if a transaction is specifically excluded from the coverage of Article 9, the transaction may be covered by UETA.  </w:t>
      </w:r>
      <w:r>
        <w:rPr>
          <w:i/>
        </w:rPr>
        <w:t>Id</w:t>
      </w:r>
      <w:r>
        <w:rPr/>
        <w:t xml:space="preserve">. cmt. 5.). </w:t>
      </w:r>
    </w:p>
  </w:footnote>
  <w:footnote w:id="67">
    <w:p>
      <w:pPr>
        <w:pStyle w:val="FootnoteText"/>
        <w:rPr/>
      </w:pPr>
      <w:r>
        <w:rPr>
          <w:rStyle w:val="FootnoteCharacters"/>
        </w:rPr>
        <w:footnoteRef/>
      </w:r>
      <w:r>
        <w:rPr/>
        <w:t xml:space="preserve"> </w:t>
      </w:r>
      <w:r>
        <w:rPr>
          <w:i/>
        </w:rPr>
        <w:t>See id</w:t>
      </w:r>
      <w:r>
        <w:rPr/>
        <w:t>. § 9(a).</w:t>
      </w:r>
    </w:p>
  </w:footnote>
  <w:footnote w:id="68">
    <w:p>
      <w:pPr>
        <w:pStyle w:val="FootnoteText"/>
        <w:rPr/>
      </w:pPr>
      <w:r>
        <w:rPr>
          <w:rStyle w:val="FootnoteCharacters"/>
        </w:rPr>
        <w:footnoteRef/>
      </w:r>
      <w:r>
        <w:rPr/>
        <w:t xml:space="preserve"> </w:t>
      </w:r>
      <w:r>
        <w:rPr>
          <w:i/>
        </w:rPr>
        <w:t>Id</w:t>
      </w:r>
      <w:r>
        <w:rPr/>
        <w:t>.</w:t>
      </w:r>
    </w:p>
  </w:footnote>
  <w:footnote w:id="69">
    <w:p>
      <w:pPr>
        <w:pStyle w:val="FootnoteText"/>
        <w:rPr/>
      </w:pPr>
      <w:r>
        <w:rPr>
          <w:rStyle w:val="FootnoteCharacters"/>
        </w:rPr>
        <w:footnoteRef/>
      </w:r>
      <w:r>
        <w:rPr/>
        <w:t xml:space="preserve"> </w:t>
      </w:r>
      <w:r>
        <w:rPr>
          <w:i/>
        </w:rPr>
        <w:t>See id.</w:t>
      </w:r>
      <w:r>
        <w:rPr/>
        <w:t xml:space="preserve"> § 9(b).</w:t>
      </w:r>
    </w:p>
  </w:footnote>
  <w:footnote w:id="70">
    <w:p>
      <w:pPr>
        <w:pStyle w:val="FootnoteText"/>
        <w:rPr/>
      </w:pPr>
      <w:r>
        <w:rPr>
          <w:rStyle w:val="FootnoteCharacters"/>
        </w:rPr>
        <w:footnoteRef/>
      </w:r>
      <w:r>
        <w:rPr/>
        <w:t xml:space="preserve"> </w:t>
      </w:r>
      <w:r>
        <w:rPr>
          <w:i/>
        </w:rPr>
        <w:t>See id</w:t>
      </w:r>
      <w:r>
        <w:rPr/>
        <w:t>. cmt. 1.</w:t>
      </w:r>
    </w:p>
  </w:footnote>
  <w:footnote w:id="71">
    <w:p>
      <w:pPr>
        <w:pStyle w:val="FootnoteText"/>
        <w:rPr/>
      </w:pPr>
      <w:r>
        <w:rPr>
          <w:rStyle w:val="FootnoteCharacters"/>
        </w:rPr>
        <w:footnoteRef/>
      </w:r>
      <w:r>
        <w:rPr/>
        <w:t xml:space="preserve"> </w:t>
      </w:r>
      <w:r>
        <w:rPr>
          <w:i/>
        </w:rPr>
        <w:t>See id</w:t>
      </w:r>
      <w:r>
        <w:rPr/>
        <w:t>. cmt 4.</w:t>
      </w:r>
    </w:p>
  </w:footnote>
  <w:footnote w:id="72">
    <w:p>
      <w:pPr>
        <w:pStyle w:val="FootnoteText"/>
        <w:rPr/>
      </w:pPr>
      <w:r>
        <w:rPr>
          <w:rStyle w:val="FootnoteCharacters"/>
        </w:rPr>
        <w:footnoteRef/>
      </w:r>
      <w:r>
        <w:rPr/>
        <w:t xml:space="preserve"> </w:t>
      </w:r>
      <w:r>
        <w:rPr>
          <w:i/>
        </w:rPr>
        <w:t>See id.</w:t>
      </w:r>
      <w:r>
        <w:rPr/>
        <w:t xml:space="preserve"> cmt. 5.</w:t>
      </w:r>
    </w:p>
  </w:footnote>
  <w:footnote w:id="73">
    <w:p>
      <w:pPr>
        <w:pStyle w:val="FootnoteText"/>
        <w:rPr/>
      </w:pPr>
      <w:r>
        <w:rPr>
          <w:rStyle w:val="FootnoteCharacters"/>
        </w:rPr>
        <w:footnoteRef/>
      </w:r>
      <w:r>
        <w:rPr/>
        <w:t xml:space="preserve"> </w:t>
      </w:r>
      <w:r>
        <w:rPr>
          <w:i/>
        </w:rPr>
        <w:t>See id</w:t>
      </w:r>
      <w:r>
        <w:rPr/>
        <w:t>. § 14.</w:t>
      </w:r>
    </w:p>
  </w:footnote>
  <w:footnote w:id="74">
    <w:p>
      <w:pPr>
        <w:pStyle w:val="FootnoteText"/>
        <w:rPr/>
      </w:pPr>
      <w:r>
        <w:rPr>
          <w:rStyle w:val="FootnoteCharacters"/>
        </w:rPr>
        <w:footnoteRef/>
      </w:r>
      <w:r>
        <w:rPr/>
        <w:t xml:space="preserve"> </w:t>
      </w:r>
      <w:r>
        <w:rPr>
          <w:i/>
        </w:rPr>
        <w:t>Id.</w:t>
      </w:r>
      <w:r>
        <w:rPr/>
        <w:t xml:space="preserve"> cmt. 1.</w:t>
      </w:r>
    </w:p>
  </w:footnote>
  <w:footnote w:id="75">
    <w:p>
      <w:pPr>
        <w:pStyle w:val="FootnoteText"/>
        <w:rPr/>
      </w:pPr>
      <w:r>
        <w:rPr>
          <w:rStyle w:val="FootnoteCharacters"/>
        </w:rPr>
        <w:footnoteRef/>
      </w:r>
      <w:r>
        <w:rPr/>
        <w:t xml:space="preserve"> </w:t>
      </w:r>
      <w:r>
        <w:rPr>
          <w:i/>
        </w:rPr>
        <w:t>Id.</w:t>
      </w:r>
      <w:r>
        <w:rPr/>
        <w:t xml:space="preserve"> cmts. 2, 3.</w:t>
      </w:r>
    </w:p>
  </w:footnote>
  <w:footnote w:id="76">
    <w:p>
      <w:pPr>
        <w:pStyle w:val="FootnoteText"/>
        <w:rPr/>
      </w:pPr>
      <w:r>
        <w:rPr>
          <w:rStyle w:val="FootnoteCharacters"/>
        </w:rPr>
        <w:footnoteRef/>
      </w:r>
      <w:r>
        <w:rPr/>
        <w:t xml:space="preserve"> </w:t>
      </w:r>
      <w:r>
        <w:rPr>
          <w:i/>
        </w:rPr>
        <w:t>See id</w:t>
      </w:r>
      <w:r>
        <w:rPr/>
        <w:t>. § 16(a).</w:t>
      </w:r>
    </w:p>
  </w:footnote>
  <w:footnote w:id="77">
    <w:p>
      <w:pPr>
        <w:pStyle w:val="FootnoteText"/>
        <w:rPr/>
      </w:pPr>
      <w:r>
        <w:rPr>
          <w:rStyle w:val="FootnoteCharacters"/>
        </w:rPr>
        <w:footnoteRef/>
      </w:r>
      <w:r>
        <w:rPr/>
        <w:t xml:space="preserve"> </w:t>
      </w:r>
      <w:r>
        <w:rPr>
          <w:i/>
        </w:rPr>
        <w:t>See id</w:t>
      </w:r>
      <w:r>
        <w:rPr/>
        <w:t>. § 16(d).</w:t>
      </w:r>
    </w:p>
  </w:footnote>
  <w:footnote w:id="78">
    <w:p>
      <w:pPr>
        <w:pStyle w:val="FootnoteText"/>
        <w:rPr/>
      </w:pPr>
      <w:r>
        <w:rPr>
          <w:rStyle w:val="FootnoteCharacters"/>
        </w:rPr>
        <w:footnoteRef/>
      </w:r>
      <w:r>
        <w:rPr/>
        <w:t xml:space="preserve"> </w:t>
      </w:r>
      <w:r>
        <w:rPr>
          <w:i/>
        </w:rPr>
        <w:t>See id</w:t>
      </w:r>
      <w:r>
        <w:rPr/>
        <w:t>. § 16(b).</w:t>
      </w:r>
    </w:p>
  </w:footnote>
  <w:footnote w:id="79">
    <w:p>
      <w:pPr>
        <w:pStyle w:val="FootnoteText"/>
        <w:rPr/>
      </w:pPr>
      <w:r>
        <w:rPr>
          <w:rStyle w:val="FootnoteCharacters"/>
        </w:rPr>
        <w:footnoteRef/>
      </w:r>
      <w:r>
        <w:rPr/>
        <w:t xml:space="preserve"> </w:t>
      </w:r>
      <w:r>
        <w:rPr>
          <w:i/>
        </w:rPr>
        <w:t>See id</w:t>
      </w:r>
      <w:r>
        <w:rPr/>
        <w:t>. § 16(c).</w:t>
      </w:r>
    </w:p>
  </w:footnote>
  <w:footnote w:id="80">
    <w:p>
      <w:pPr>
        <w:pStyle w:val="FootnoteText"/>
        <w:rPr/>
      </w:pPr>
      <w:r>
        <w:rPr>
          <w:rStyle w:val="FootnoteCharacters"/>
        </w:rPr>
        <w:footnoteRef/>
      </w:r>
      <w:r>
        <w:rPr/>
        <w:t xml:space="preserve"> </w:t>
      </w:r>
      <w:r>
        <w:rPr>
          <w:i/>
        </w:rPr>
        <w:t>See id</w:t>
      </w:r>
      <w:r>
        <w:rPr/>
        <w:t>. § 16(e).</w:t>
      </w:r>
    </w:p>
  </w:footnote>
  <w:footnote w:id="81">
    <w:p>
      <w:pPr>
        <w:pStyle w:val="FootnoteText"/>
        <w:rPr/>
      </w:pPr>
      <w:r>
        <w:rPr>
          <w:rStyle w:val="FootnoteCharacters"/>
        </w:rPr>
        <w:footnoteRef/>
      </w:r>
      <w:r>
        <w:rPr/>
        <w:t xml:space="preserve"> </w:t>
      </w:r>
      <w:r>
        <w:rPr>
          <w:i/>
        </w:rPr>
        <w:t>See id</w:t>
      </w:r>
      <w:r>
        <w:rPr/>
        <w:t>. § 16(f).</w:t>
      </w:r>
    </w:p>
  </w:footnote>
  <w:footnote w:id="82">
    <w:p>
      <w:pPr>
        <w:pStyle w:val="FootnoteText"/>
        <w:rPr/>
      </w:pPr>
      <w:r>
        <w:rPr>
          <w:rStyle w:val="FootnoteCharacters"/>
        </w:rPr>
        <w:footnoteRef/>
      </w:r>
      <w:r>
        <w:rPr/>
        <w:t xml:space="preserve"> </w:t>
      </w:r>
      <w:r>
        <w:rPr>
          <w:i/>
        </w:rPr>
        <w:t>See id.</w:t>
      </w:r>
      <w:r>
        <w:rPr/>
        <w:t xml:space="preserve"> cmt. 1.</w:t>
      </w:r>
    </w:p>
  </w:footnote>
  <w:footnote w:id="83">
    <w:p>
      <w:pPr>
        <w:pStyle w:val="FootnoteText"/>
        <w:rPr/>
      </w:pPr>
      <w:r>
        <w:rPr>
          <w:rStyle w:val="FootnoteCharacters"/>
        </w:rPr>
        <w:footnoteRef/>
      </w:r>
      <w:r>
        <w:rPr/>
        <w:t xml:space="preserve"> </w:t>
      </w:r>
      <w:r>
        <w:rPr>
          <w:i/>
        </w:rPr>
        <w:t>See id</w:t>
      </w:r>
      <w:r>
        <w:rPr/>
        <w:t>. § 11.</w:t>
      </w:r>
    </w:p>
  </w:footnote>
  <w:footnote w:id="84">
    <w:p>
      <w:pPr>
        <w:pStyle w:val="FootnoteText"/>
        <w:rPr/>
      </w:pPr>
      <w:r>
        <w:rPr>
          <w:rStyle w:val="FootnoteCharacters"/>
        </w:rPr>
        <w:footnoteRef/>
      </w:r>
      <w:r>
        <w:rPr/>
        <w:t xml:space="preserve"> </w:t>
      </w:r>
      <w:r>
        <w:rPr>
          <w:i/>
        </w:rPr>
        <w:t>See id</w:t>
      </w:r>
      <w:r>
        <w:rPr/>
        <w:t>. § 13.</w:t>
      </w:r>
    </w:p>
  </w:footnote>
  <w:footnote w:id="85">
    <w:p>
      <w:pPr>
        <w:pStyle w:val="FootnoteText"/>
        <w:rPr/>
      </w:pPr>
      <w:r>
        <w:rPr>
          <w:rStyle w:val="FootnoteCharacters"/>
        </w:rPr>
        <w:footnoteRef/>
      </w:r>
      <w:r>
        <w:rPr/>
        <w:t xml:space="preserve"> </w:t>
      </w:r>
      <w:r>
        <w:rPr>
          <w:i/>
        </w:rPr>
        <w:t>See id</w:t>
      </w:r>
      <w:r>
        <w:rPr/>
        <w:t>. § 10.</w:t>
      </w:r>
    </w:p>
  </w:footnote>
  <w:footnote w:id="86">
    <w:p>
      <w:pPr>
        <w:pStyle w:val="FootnoteText"/>
        <w:rPr/>
      </w:pPr>
      <w:r>
        <w:rPr>
          <w:rStyle w:val="FootnoteCharacters"/>
        </w:rPr>
        <w:footnoteRef/>
      </w:r>
      <w:r>
        <w:rPr/>
        <w:t xml:space="preserve"> </w:t>
      </w:r>
      <w:r>
        <w:rPr>
          <w:i/>
        </w:rPr>
        <w:t>See id</w:t>
      </w:r>
      <w:r>
        <w:rPr/>
        <w:t>. § 12.</w:t>
      </w:r>
    </w:p>
  </w:footnote>
  <w:footnote w:id="87">
    <w:p>
      <w:pPr>
        <w:pStyle w:val="FootnoteText"/>
        <w:rPr/>
      </w:pPr>
      <w:r>
        <w:rPr>
          <w:rStyle w:val="FootnoteCharacters"/>
        </w:rPr>
        <w:footnoteRef/>
      </w:r>
      <w:r>
        <w:rPr/>
        <w:t xml:space="preserve"> </w:t>
      </w:r>
      <w:r>
        <w:rPr>
          <w:i/>
        </w:rPr>
        <w:t>See id</w:t>
      </w:r>
      <w:r>
        <w:rPr/>
        <w:t>. § 15.</w:t>
      </w:r>
    </w:p>
  </w:footnote>
  <w:footnote w:id="88">
    <w:p>
      <w:pPr>
        <w:pStyle w:val="FootnoteText"/>
        <w:rPr/>
      </w:pPr>
      <w:r>
        <w:rPr>
          <w:rStyle w:val="FootnoteCharacters"/>
        </w:rPr>
        <w:footnoteRef/>
      </w:r>
      <w:r>
        <w:rPr/>
        <w:t xml:space="preserve"> </w:t>
      </w:r>
      <w:r>
        <w:rPr>
          <w:i/>
        </w:rPr>
        <w:t>See id</w:t>
      </w:r>
      <w:r>
        <w:rPr/>
        <w:t>. § 6.</w:t>
      </w:r>
    </w:p>
  </w:footnote>
  <w:footnote w:id="89">
    <w:p>
      <w:pPr>
        <w:pStyle w:val="FootnoteText"/>
        <w:rPr/>
      </w:pPr>
      <w:r>
        <w:rPr>
          <w:rStyle w:val="FootnoteCharacters"/>
        </w:rPr>
        <w:footnoteRef/>
      </w:r>
      <w:r>
        <w:rPr/>
        <w:t xml:space="preserve"> </w:t>
      </w:r>
      <w:r>
        <w:rPr>
          <w:i/>
        </w:rPr>
        <w:t>See id</w:t>
      </w:r>
      <w:r>
        <w:rPr/>
        <w:t>. § 4.</w:t>
      </w:r>
    </w:p>
  </w:footnote>
  <w:footnote w:id="90">
    <w:p>
      <w:pPr>
        <w:pStyle w:val="FootnoteText"/>
        <w:jc w:val="both"/>
        <w:rPr/>
      </w:pPr>
      <w:r>
        <w:rPr>
          <w:rStyle w:val="FootnoteCharacters"/>
        </w:rPr>
        <w:footnoteRef/>
      </w:r>
      <w:r>
        <w:rPr/>
        <w:t xml:space="preserve"> </w:t>
      </w:r>
      <w:r>
        <w:rPr>
          <w:smallCaps/>
        </w:rPr>
        <w:t>Uniform Computer Information Transactions Act</w:t>
      </w:r>
      <w:r>
        <w:rPr/>
        <w:t xml:space="preserve"> §§ 103(a), 102(a)(11) (1999).  The following states enacted UCITA (effective dates in parentheses):  Maryland (8/1/00) and Virginia (7/1/01).  The Louisiana House of Representatives, in the 2000 Regular Session, adopted a resolution requesting that the Louisiana State Law Institute study UCITA.</w:t>
      </w:r>
    </w:p>
  </w:footnote>
  <w:footnote w:id="91">
    <w:p>
      <w:pPr>
        <w:pStyle w:val="FootnoteText"/>
        <w:rPr/>
      </w:pPr>
      <w:r>
        <w:rPr>
          <w:rStyle w:val="FootnoteCharacters"/>
        </w:rPr>
        <w:footnoteRef/>
      </w:r>
      <w:r>
        <w:rPr/>
        <w:t xml:space="preserve"> </w:t>
      </w:r>
      <w:r>
        <w:rPr>
          <w:i/>
        </w:rPr>
        <w:t>See id</w:t>
      </w:r>
      <w:r>
        <w:rPr/>
        <w:t>. §102(a)(11).</w:t>
      </w:r>
    </w:p>
  </w:footnote>
  <w:footnote w:id="92">
    <w:p>
      <w:pPr>
        <w:pStyle w:val="FootnoteText"/>
        <w:rPr/>
      </w:pPr>
      <w:r>
        <w:rPr>
          <w:rStyle w:val="FootnoteCharacters"/>
        </w:rPr>
        <w:footnoteRef/>
      </w:r>
      <w:r>
        <w:rPr/>
        <w:t xml:space="preserve"> </w:t>
      </w:r>
      <w:r>
        <w:rPr>
          <w:i/>
        </w:rPr>
        <w:t>See id</w:t>
      </w:r>
      <w:r>
        <w:rPr/>
        <w:t>. § 102(a)(10).</w:t>
      </w:r>
    </w:p>
  </w:footnote>
  <w:footnote w:id="93">
    <w:p>
      <w:pPr>
        <w:pStyle w:val="FootnoteText"/>
        <w:rPr/>
      </w:pPr>
      <w:r>
        <w:rPr>
          <w:rStyle w:val="FootnoteCharacters"/>
        </w:rPr>
        <w:footnoteRef/>
      </w:r>
      <w:r>
        <w:rPr/>
        <w:t xml:space="preserve"> </w:t>
      </w:r>
      <w:r>
        <w:rPr>
          <w:i/>
        </w:rPr>
        <w:t>See id</w:t>
      </w:r>
      <w:r>
        <w:rPr/>
        <w:t>. § 102(a)(38).</w:t>
      </w:r>
    </w:p>
  </w:footnote>
  <w:footnote w:id="94">
    <w:p>
      <w:pPr>
        <w:pStyle w:val="FootnoteText"/>
        <w:rPr/>
      </w:pPr>
      <w:r>
        <w:rPr>
          <w:rStyle w:val="FootnoteCharacters"/>
        </w:rPr>
        <w:footnoteRef/>
      </w:r>
      <w:r>
        <w:rPr/>
        <w:t xml:space="preserve"> </w:t>
      </w:r>
      <w:r>
        <w:rPr>
          <w:i/>
        </w:rPr>
        <w:t>See id</w:t>
      </w:r>
      <w:r>
        <w:rPr/>
        <w:t>. § 103(b)(1).</w:t>
      </w:r>
    </w:p>
  </w:footnote>
  <w:footnote w:id="95">
    <w:p>
      <w:pPr>
        <w:pStyle w:val="FootnoteText"/>
        <w:rPr/>
      </w:pPr>
      <w:r>
        <w:rPr>
          <w:rStyle w:val="FootnoteCharacters"/>
        </w:rPr>
        <w:footnoteRef/>
      </w:r>
      <w:r>
        <w:rPr/>
        <w:t xml:space="preserve"> </w:t>
      </w:r>
      <w:r>
        <w:rPr>
          <w:i/>
        </w:rPr>
        <w:t>See id</w:t>
      </w:r>
      <w:r>
        <w:rPr/>
        <w:t>. § 107(a).</w:t>
      </w:r>
    </w:p>
  </w:footnote>
  <w:footnote w:id="96">
    <w:p>
      <w:pPr>
        <w:pStyle w:val="FootnoteText"/>
        <w:rPr/>
      </w:pPr>
      <w:r>
        <w:rPr>
          <w:rStyle w:val="FootnoteCharacters"/>
        </w:rPr>
        <w:footnoteRef/>
      </w:r>
      <w:r>
        <w:rPr/>
        <w:t xml:space="preserve"> </w:t>
      </w:r>
      <w:r>
        <w:rPr>
          <w:i/>
        </w:rPr>
        <w:t>See id</w:t>
      </w:r>
      <w:r>
        <w:rPr/>
        <w:t>. § 107(d).</w:t>
      </w:r>
    </w:p>
  </w:footnote>
  <w:footnote w:id="97">
    <w:p>
      <w:pPr>
        <w:pStyle w:val="FootnoteText"/>
        <w:rPr/>
      </w:pPr>
      <w:r>
        <w:rPr>
          <w:rStyle w:val="FootnoteCharacters"/>
        </w:rPr>
        <w:footnoteRef/>
      </w:r>
      <w:r>
        <w:rPr/>
        <w:t xml:space="preserve"> </w:t>
      </w:r>
      <w:r>
        <w:rPr>
          <w:i/>
        </w:rPr>
        <w:t>See id</w:t>
      </w:r>
      <w:r>
        <w:rPr/>
        <w:t>. § 103(c).</w:t>
      </w:r>
    </w:p>
  </w:footnote>
  <w:footnote w:id="98">
    <w:p>
      <w:pPr>
        <w:pStyle w:val="FootnoteText"/>
        <w:rPr/>
      </w:pPr>
      <w:r>
        <w:rPr>
          <w:rStyle w:val="FootnoteCharacters"/>
        </w:rPr>
        <w:footnoteRef/>
      </w:r>
      <w:r>
        <w:rPr/>
        <w:t xml:space="preserve"> </w:t>
      </w:r>
      <w:r>
        <w:rPr>
          <w:i/>
        </w:rPr>
        <w:t>See id</w:t>
      </w:r>
      <w:r>
        <w:rPr/>
        <w:t>. § 103(d).</w:t>
      </w:r>
    </w:p>
  </w:footnote>
  <w:footnote w:id="99">
    <w:p>
      <w:pPr>
        <w:pStyle w:val="FootnoteText"/>
        <w:rPr/>
      </w:pPr>
      <w:r>
        <w:rPr>
          <w:rStyle w:val="FootnoteCharacters"/>
        </w:rPr>
        <w:footnoteRef/>
      </w:r>
      <w:r>
        <w:rPr/>
        <w:t xml:space="preserve"> </w:t>
      </w:r>
      <w:r>
        <w:rPr>
          <w:i/>
        </w:rPr>
        <w:t>See id</w:t>
      </w:r>
      <w:r>
        <w:rPr/>
        <w:t>. § 105(a).</w:t>
      </w:r>
    </w:p>
  </w:footnote>
  <w:footnote w:id="100">
    <w:p>
      <w:pPr>
        <w:pStyle w:val="FootnoteText"/>
        <w:rPr/>
      </w:pPr>
      <w:r>
        <w:rPr>
          <w:rStyle w:val="FootnoteCharacters"/>
        </w:rPr>
        <w:footnoteRef/>
      </w:r>
      <w:r>
        <w:rPr/>
        <w:t xml:space="preserve"> </w:t>
      </w:r>
      <w:r>
        <w:rPr>
          <w:i/>
        </w:rPr>
        <w:t>See id</w:t>
      </w:r>
      <w:r>
        <w:rPr/>
        <w:t>. § 105(c).</w:t>
      </w:r>
    </w:p>
  </w:footnote>
  <w:footnote w:id="101">
    <w:p>
      <w:pPr>
        <w:pStyle w:val="FootnoteText"/>
        <w:rPr/>
      </w:pPr>
      <w:r>
        <w:rPr>
          <w:rStyle w:val="FootnoteCharacters"/>
        </w:rPr>
        <w:footnoteRef/>
      </w:r>
      <w:r>
        <w:rPr/>
        <w:t xml:space="preserve"> </w:t>
      </w:r>
      <w:r>
        <w:rPr>
          <w:i/>
        </w:rPr>
        <w:t>See id</w:t>
      </w:r>
      <w:r>
        <w:rPr/>
        <w:t xml:space="preserve">. § 105(e). </w:t>
      </w:r>
    </w:p>
  </w:footnote>
  <w:footnote w:id="102">
    <w:p>
      <w:pPr>
        <w:pStyle w:val="FootnoteText"/>
        <w:rPr/>
      </w:pPr>
      <w:r>
        <w:rPr>
          <w:rStyle w:val="FootnoteCharacters"/>
        </w:rPr>
        <w:footnoteRef/>
      </w:r>
      <w:r>
        <w:rPr/>
        <w:t xml:space="preserve"> </w:t>
      </w:r>
      <w:r>
        <w:rPr>
          <w:i/>
        </w:rPr>
        <w:t>See id</w:t>
      </w:r>
      <w:r>
        <w:rPr/>
        <w:t>. § 902.</w:t>
      </w:r>
    </w:p>
  </w:footnote>
  <w:footnote w:id="103">
    <w:p>
      <w:pPr>
        <w:pStyle w:val="FootnoteText"/>
        <w:rPr/>
      </w:pPr>
      <w:r>
        <w:rPr>
          <w:rStyle w:val="FootnoteCharacters"/>
        </w:rPr>
        <w:footnoteRef/>
      </w:r>
      <w:r>
        <w:rPr/>
        <w:t xml:space="preserve"> </w:t>
      </w:r>
      <w:r>
        <w:rPr>
          <w:i/>
        </w:rPr>
        <w:t>See id</w:t>
      </w:r>
      <w:r>
        <w:rPr/>
        <w:t>. § 904.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0" w:end="0"/>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ind w:start="0" w:end="0"/>
      <w:rPr/>
    </w:pPr>
    <w:r>
      <w:rPr/>
      <w:tab/>
      <w:tab/>
    </w:r>
    <w:r>
      <w:rPr>
        <w:b/>
        <w:u w:val="single"/>
      </w:rPr>
      <w:t>PRIVILEGED AND CONFIDENTIAL</w:t>
    </w:r>
  </w:p>
  <w:p>
    <w:pPr>
      <w:pStyle w:val="Header"/>
      <w:tabs>
        <w:tab w:val="clear" w:pos="8640"/>
        <w:tab w:val="center" w:pos="4320" w:leader="none"/>
        <w:tab w:val="right" w:pos="9360" w:leader="none"/>
      </w:tabs>
      <w:rPr/>
    </w:pPr>
    <w:r>
      <w:rPr>
        <w:b/>
      </w:rPr>
      <w:tab/>
      <w:tab/>
    </w:r>
    <w:r>
      <w:rPr>
        <w:b/>
        <w:u w:val="single"/>
      </w:rPr>
      <w:t>ATTORNEY-CLIENT COMMUNICATION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720" w:end="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pBdr>
        <w:bottom w:val="single" w:sz="6" w:space="3" w:color="000000"/>
      </w:pBdr>
      <w:spacing w:lineRule="exact" w:line="360" w:before="360" w:after="120"/>
      <w:ind w:hanging="0" w:start="0" w:end="0"/>
      <w:outlineLvl w:val="0"/>
    </w:pPr>
    <w:rPr>
      <w:b/>
      <w:caps/>
      <w:kern w:val="2"/>
      <w:sz w:val="28"/>
    </w:rPr>
  </w:style>
  <w:style w:type="paragraph" w:styleId="Heading2">
    <w:name w:val="heading 2"/>
    <w:basedOn w:val="Normal"/>
    <w:next w:val="BodyText"/>
    <w:qFormat/>
    <w:pPr>
      <w:keepNext w:val="true"/>
      <w:keepLines/>
      <w:numPr>
        <w:ilvl w:val="1"/>
        <w:numId w:val="1"/>
      </w:numPr>
      <w:spacing w:lineRule="exact" w:line="280" w:before="240" w:after="120"/>
      <w:ind w:hanging="0" w:start="0" w:end="0"/>
      <w:outlineLvl w:val="1"/>
    </w:pPr>
    <w:rPr>
      <w:b/>
      <w:kern w:val="2"/>
      <w:sz w:val="28"/>
    </w:rPr>
  </w:style>
  <w:style w:type="paragraph" w:styleId="Heading3">
    <w:name w:val="heading 3"/>
    <w:basedOn w:val="Normal"/>
    <w:next w:val="BodyText"/>
    <w:qFormat/>
    <w:pPr>
      <w:keepNext w:val="true"/>
      <w:keepLines/>
      <w:numPr>
        <w:ilvl w:val="2"/>
        <w:numId w:val="1"/>
      </w:numPr>
      <w:spacing w:lineRule="exact" w:line="280" w:before="240" w:after="120"/>
      <w:ind w:hanging="0" w:start="0" w:end="0"/>
      <w:outlineLvl w:val="2"/>
    </w:pPr>
    <w:rPr>
      <w:b/>
      <w:i/>
      <w:kern w:val="2"/>
      <w:sz w:val="28"/>
    </w:rPr>
  </w:style>
  <w:style w:type="paragraph" w:styleId="Heading4">
    <w:name w:val="heading 4"/>
    <w:basedOn w:val="Normal"/>
    <w:next w:val="BodyText"/>
    <w:qFormat/>
    <w:pPr>
      <w:keepNext w:val="true"/>
      <w:keepLines/>
      <w:numPr>
        <w:ilvl w:val="3"/>
        <w:numId w:val="1"/>
      </w:numPr>
      <w:spacing w:lineRule="exact" w:line="280" w:before="240" w:after="120"/>
      <w:ind w:hanging="0" w:start="0" w:end="0"/>
      <w:outlineLvl w:val="3"/>
    </w:pPr>
    <w:rPr>
      <w:b/>
      <w:kern w:val="2"/>
    </w:rPr>
  </w:style>
  <w:style w:type="paragraph" w:styleId="Heading5">
    <w:name w:val="heading 5"/>
    <w:basedOn w:val="Normal"/>
    <w:next w:val="BodyText"/>
    <w:qFormat/>
    <w:pPr>
      <w:keepNext w:val="true"/>
      <w:keepLines/>
      <w:numPr>
        <w:ilvl w:val="4"/>
        <w:numId w:val="1"/>
      </w:numPr>
      <w:spacing w:lineRule="exact" w:line="280" w:before="240" w:after="120"/>
      <w:ind w:hanging="0" w:start="0" w:end="0"/>
      <w:outlineLvl w:val="4"/>
    </w:pPr>
    <w:rPr>
      <w:b/>
      <w:i/>
      <w:kern w:val="2"/>
    </w:rPr>
  </w:style>
  <w:style w:type="paragraph" w:styleId="Heading6">
    <w:name w:val="heading 6"/>
    <w:basedOn w:val="Normal"/>
    <w:next w:val="BodyText"/>
    <w:qFormat/>
    <w:pPr>
      <w:keepNext w:val="true"/>
      <w:keepLines/>
      <w:numPr>
        <w:ilvl w:val="5"/>
        <w:numId w:val="1"/>
      </w:numPr>
      <w:spacing w:lineRule="exact" w:line="280" w:before="240" w:after="120"/>
      <w:ind w:hanging="0" w:start="0" w:end="0"/>
      <w:outlineLvl w:val="5"/>
    </w:pPr>
    <w:rPr>
      <w:b/>
      <w:kern w:val="2"/>
      <w:sz w:val="22"/>
    </w:rPr>
  </w:style>
  <w:style w:type="paragraph" w:styleId="Heading7">
    <w:name w:val="heading 7"/>
    <w:basedOn w:val="Normal"/>
    <w:next w:val="BodyText"/>
    <w:qFormat/>
    <w:pPr>
      <w:keepNext w:val="true"/>
      <w:keepLines/>
      <w:numPr>
        <w:ilvl w:val="6"/>
        <w:numId w:val="1"/>
      </w:numPr>
      <w:spacing w:lineRule="exact" w:line="280" w:before="240" w:after="120"/>
      <w:ind w:hanging="0" w:start="0" w:end="0"/>
      <w:outlineLvl w:val="6"/>
    </w:pPr>
    <w:rPr>
      <w:kern w:val="2"/>
      <w:sz w:val="22"/>
    </w:rPr>
  </w:style>
  <w:style w:type="paragraph" w:styleId="Heading8">
    <w:name w:val="heading 8"/>
    <w:basedOn w:val="Normal"/>
    <w:next w:val="BodyText"/>
    <w:qFormat/>
    <w:pPr>
      <w:keepNext w:val="true"/>
      <w:keepLines/>
      <w:numPr>
        <w:ilvl w:val="7"/>
        <w:numId w:val="1"/>
      </w:numPr>
      <w:spacing w:lineRule="exact" w:line="280" w:before="240" w:after="120"/>
      <w:ind w:hanging="0" w:start="0" w:end="0"/>
      <w:outlineLvl w:val="7"/>
    </w:pPr>
    <w:rPr>
      <w:i/>
      <w:kern w:val="2"/>
      <w:sz w:val="22"/>
    </w:rPr>
  </w:style>
  <w:style w:type="paragraph" w:styleId="Heading9">
    <w:name w:val="heading 9"/>
    <w:basedOn w:val="Normal"/>
    <w:next w:val="BodyText"/>
    <w:qFormat/>
    <w:pPr>
      <w:keepNext w:val="true"/>
      <w:keepLines/>
      <w:numPr>
        <w:ilvl w:val="8"/>
        <w:numId w:val="1"/>
      </w:numPr>
      <w:spacing w:lineRule="exact" w:line="280" w:before="240" w:after="120"/>
      <w:ind w:hanging="0" w:start="0" w:end="0"/>
      <w:outlineLvl w:val="8"/>
    </w:pPr>
    <w:rPr>
      <w:i/>
      <w:kern w:val="2"/>
      <w:sz w:val="22"/>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ocumentLabel">
    <w:name w:val="Document Label"/>
    <w:basedOn w:val="Normal"/>
    <w:next w:val="BodyText"/>
    <w:qFormat/>
    <w:pPr>
      <w:keepNext w:val="true"/>
      <w:keepLines/>
      <w:spacing w:before="120" w:after="240"/>
      <w:ind w:hanging="0" w:start="0" w:end="0"/>
    </w:pPr>
    <w:rPr>
      <w:b/>
      <w:caps/>
      <w:spacing w:val="180"/>
      <w:kern w:val="2"/>
      <w:sz w:val="32"/>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spacing w:before="0" w:after="120"/>
      <w:ind w:hanging="0" w:start="1440" w:end="1440"/>
    </w:pPr>
    <w:rPr/>
  </w:style>
  <w:style w:type="paragraph" w:styleId="FootnoteText">
    <w:name w:val="footnote text"/>
    <w:basedOn w:val="Normal"/>
    <w:pPr/>
    <w:rPr>
      <w:sz w:val="20"/>
    </w:rPr>
  </w:style>
  <w:style w:type="paragraph" w:styleId="CommentText">
    <w:name w:val="Comment Text"/>
    <w:basedOn w:val="Normal"/>
    <w:qFormat/>
    <w:pPr/>
    <w:rPr>
      <w:sz w:val="20"/>
    </w:rPr>
  </w:style>
  <w:style w:type="paragraph" w:styleId="BodyTextIndent">
    <w:name w:val="Body Text Indent"/>
    <w:basedOn w:val="Normal"/>
    <w:pPr>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state.tx.us/Standards/srrpub13.ht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vememo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2000-09-20T19:10:00Z</dcterms:created>
  <dc:creator>VE</dc:creator>
  <dc:description/>
  <dc:language>en-CA</dc:language>
  <cp:lastModifiedBy>ndobin</cp:lastModifiedBy>
  <cp:lastPrinted>2000-09-18T14:39:00Z</cp:lastPrinted>
  <dcterms:modified xsi:type="dcterms:W3CDTF">2000-09-20T19:10:00Z</dcterms:modified>
  <cp:revision>2</cp:revision>
  <dc:subject/>
  <dc:title>V&amp; E MEMORANDUM</dc:title>
</cp:coreProperties>
</file>