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50" w:type="dxa"/>
        <w:jc w:val="start"/>
        <w:tblInd w:w="-72" w:type="dxa"/>
        <w:tblLayout w:type="fixed"/>
        <w:tblCellMar>
          <w:top w:w="0" w:type="dxa"/>
          <w:start w:w="108" w:type="dxa"/>
          <w:bottom w:w="0" w:type="dxa"/>
          <w:end w:w="108" w:type="dxa"/>
        </w:tblCellMar>
      </w:tblPr>
      <w:tblGrid>
        <w:gridCol w:w="5211"/>
        <w:gridCol w:w="5139"/>
      </w:tblGrid>
      <w:tr>
        <w:trPr/>
        <w:tc>
          <w:tcPr>
            <w:tcW w:w="10350" w:type="dxa"/>
            <w:gridSpan w:val="2"/>
            <w:tcBorders/>
          </w:tcPr>
          <w:p>
            <w:pPr>
              <w:pStyle w:val="Normal"/>
              <w:tabs>
                <w:tab w:val="clear" w:pos="720"/>
                <w:tab w:val="right" w:pos="10062" w:leader="none"/>
              </w:tabs>
              <w:rPr/>
            </w:pPr>
            <w:r>
              <w:rPr>
                <w:rFonts w:cs="CastleT;Lucida Sans Unicode" w:ascii="CastleT;Lucida Sans Unicode" w:hAnsi="CastleT;Lucida Sans Unicode"/>
                <w:b/>
                <w:i/>
                <w:sz w:val="24"/>
              </w:rPr>
              <w:tab/>
            </w:r>
            <w:r>
              <w:rPr>
                <w:rFonts w:cs="CastleT;Lucida Sans Unicode" w:ascii="CastleT;Lucida Sans Unicode" w:hAnsi="CastleT;Lucida Sans Unicode"/>
                <w:b/>
                <w:i/>
                <w:sz w:val="24"/>
                <w:u w:val="single"/>
              </w:rPr>
              <w:t>Contact Address:</w:t>
            </w:r>
          </w:p>
        </w:tc>
      </w:tr>
      <w:tr>
        <w:trPr>
          <w:trHeight w:val="353" w:hRule="atLeast"/>
        </w:trPr>
        <w:tc>
          <w:tcPr>
            <w:tcW w:w="5211" w:type="dxa"/>
            <w:tcBorders/>
          </w:tcPr>
          <w:p>
            <w:pPr>
              <w:pStyle w:val="Heading1"/>
              <w:ind w:hanging="0" w:start="0"/>
              <w:rPr/>
            </w:pPr>
            <w:r>
              <w:rPr/>
              <w:t>David B. Good</w:t>
            </w:r>
          </w:p>
        </w:tc>
        <w:tc>
          <w:tcPr>
            <w:tcW w:w="5139" w:type="dxa"/>
            <w:tcBorders/>
          </w:tcPr>
          <w:p>
            <w:pPr>
              <w:pStyle w:val="Normal"/>
              <w:jc w:val="end"/>
              <w:rPr>
                <w:rFonts w:ascii="Arial Narrow" w:hAnsi="Arial Narrow" w:cs="Arial Narrow"/>
              </w:rPr>
            </w:pPr>
            <w:r>
              <w:rPr>
                <w:rFonts w:cs="Arial Narrow" w:ascii="Arial Narrow" w:hAnsi="Arial Narrow"/>
              </w:rPr>
              <w:t>3822 North Braeswood Blvd. #57</w:t>
            </w:r>
          </w:p>
          <w:p>
            <w:pPr>
              <w:pStyle w:val="Normal"/>
              <w:jc w:val="end"/>
              <w:rPr>
                <w:rFonts w:ascii="Arial Narrow" w:hAnsi="Arial Narrow" w:cs="Arial Narrow"/>
                <w:i/>
                <w:i/>
              </w:rPr>
            </w:pPr>
            <w:r>
              <w:rPr>
                <w:rFonts w:cs="Arial Narrow" w:ascii="Arial Narrow" w:hAnsi="Arial Narrow"/>
              </w:rPr>
              <w:t>Houston, Texas  77025</w:t>
            </w:r>
          </w:p>
        </w:tc>
      </w:tr>
      <w:tr>
        <w:trPr/>
        <w:tc>
          <w:tcPr>
            <w:tcW w:w="5211" w:type="dxa"/>
            <w:tcBorders/>
          </w:tcPr>
          <w:p>
            <w:pPr>
              <w:pStyle w:val="Normal"/>
              <w:rPr>
                <w:rFonts w:ascii="Arial Narrow" w:hAnsi="Arial Narrow" w:cs="Arial Narrow"/>
              </w:rPr>
            </w:pPr>
            <w:r>
              <w:rPr>
                <w:rFonts w:cs="Arial Narrow" w:ascii="Arial Narrow" w:hAnsi="Arial Narrow"/>
              </w:rPr>
              <w:t>Good@Wharton.UPenn.edu</w:t>
            </w:r>
          </w:p>
        </w:tc>
        <w:tc>
          <w:tcPr>
            <w:tcW w:w="5139" w:type="dxa"/>
            <w:tcBorders/>
          </w:tcPr>
          <w:p>
            <w:pPr>
              <w:pStyle w:val="Normal"/>
              <w:jc w:val="end"/>
              <w:rPr>
                <w:rFonts w:ascii="Arial Narrow" w:hAnsi="Arial Narrow" w:cs="Arial Narrow"/>
              </w:rPr>
            </w:pPr>
            <w:r>
              <w:rPr>
                <w:rFonts w:cs="Arial Narrow" w:ascii="Arial Narrow" w:hAnsi="Arial Narrow"/>
              </w:rPr>
              <w:t>Mobile:  (713) 857-9808</w:t>
            </w:r>
          </w:p>
        </w:tc>
      </w:tr>
    </w:tbl>
    <w:p>
      <w:pPr>
        <w:pStyle w:val="Section"/>
        <w:rPr/>
      </w:pPr>
      <w:r>
        <w:rPr/>
        <w:t>EDUCATION</w:t>
      </w:r>
    </w:p>
    <w:p>
      <w:pPr>
        <w:pStyle w:val="Line1"/>
        <w:rPr/>
      </w:pPr>
      <w:r>
        <w:rPr/>
        <w:t xml:space="preserve">THE WHARTON SCHOOL </w:t>
      </w:r>
      <w:r>
        <w:rPr>
          <w:b w:val="false"/>
          <w:i/>
        </w:rPr>
        <w:t xml:space="preserve">and </w:t>
      </w:r>
      <w:r>
        <w:rPr/>
        <w:t>THE SCHOOL OF ARTS AND SCIENCES,</w:t>
      </w:r>
    </w:p>
    <w:p>
      <w:pPr>
        <w:pStyle w:val="Lines12"/>
        <w:rPr/>
      </w:pPr>
      <w:r>
        <w:rPr/>
        <w:t>University of Pennsylvania</w:t>
        <w:tab/>
      </w:r>
      <w:r>
        <w:rPr>
          <w:b w:val="false"/>
          <w:sz w:val="20"/>
        </w:rPr>
        <w:t>Philadelphia, PA</w:t>
      </w:r>
    </w:p>
    <w:p>
      <w:pPr>
        <w:pStyle w:val="EducationLines"/>
        <w:rPr/>
      </w:pPr>
      <w:r>
        <w:rPr>
          <w:i/>
        </w:rPr>
        <w:t>Master of Business Administration</w:t>
      </w:r>
      <w:r>
        <w:rPr/>
        <w:t>, Concentration in Finance and Strategic Planning</w:t>
        <w:tab/>
        <w:t>May, 1988</w:t>
      </w:r>
    </w:p>
    <w:p>
      <w:pPr>
        <w:pStyle w:val="EducationLines"/>
        <w:rPr/>
      </w:pPr>
      <w:r>
        <w:rPr>
          <w:i/>
        </w:rPr>
        <w:t>Master of Arts</w:t>
      </w:r>
      <w:r>
        <w:rPr/>
        <w:t>, International Studies, East Asian Specialization</w:t>
        <w:tab/>
        <w:t>May, 1988</w:t>
      </w:r>
    </w:p>
    <w:p>
      <w:pPr>
        <w:pStyle w:val="EducationLines"/>
        <w:rPr/>
      </w:pPr>
      <w:r>
        <w:rPr>
          <w:i/>
        </w:rPr>
        <w:t>Fellow</w:t>
      </w:r>
      <w:r>
        <w:rPr/>
        <w:t>, The Joseph H. Lauder Institute of Management and Int’l Studies</w:t>
      </w:r>
      <w:r>
        <w:rPr>
          <w:rFonts w:eastAsia="Symbol" w:cs="Symbol" w:ascii="Symbol" w:hAnsi="Symbol"/>
        </w:rPr>
        <w:sym w:font="Symbol" w:char="f0be"/>
      </w:r>
      <w:r>
        <w:rPr/>
        <w:t>Joint Degree Program</w:t>
      </w:r>
    </w:p>
    <w:p>
      <w:pPr>
        <w:pStyle w:val="EducationLines"/>
        <w:rPr/>
      </w:pPr>
      <w:r>
        <w:rPr>
          <w:i/>
        </w:rPr>
        <w:t>Fellow</w:t>
      </w:r>
      <w:r>
        <w:rPr/>
        <w:t>, Citicorp, U.S.A.</w:t>
      </w:r>
    </w:p>
    <w:p>
      <w:pPr>
        <w:pStyle w:val="Line1"/>
        <w:rPr/>
      </w:pPr>
      <w:r>
        <w:rPr/>
        <w:t>BRIGHAM YOUNG UNIVERSITY</w:t>
        <w:tab/>
      </w:r>
      <w:r>
        <w:rPr>
          <w:b w:val="false"/>
          <w:sz w:val="20"/>
        </w:rPr>
        <w:t>Provo, UT</w:t>
      </w:r>
    </w:p>
    <w:p>
      <w:pPr>
        <w:pStyle w:val="EducationLines"/>
        <w:rPr/>
      </w:pPr>
      <w:r>
        <w:rPr>
          <w:i/>
        </w:rPr>
        <w:t>Bachelor of Arts</w:t>
      </w:r>
      <w:r>
        <w:rPr/>
        <w:t>, Chinese and Asian Studies</w:t>
      </w:r>
      <w:r>
        <w:rPr>
          <w:rFonts w:eastAsia="Symbol" w:cs="Symbol" w:ascii="Symbol" w:hAnsi="Symbol"/>
        </w:rPr>
        <w:sym w:font="Symbol" w:char="f0be"/>
      </w:r>
      <w:r>
        <w:rPr/>
        <w:t>Concentration in Economics;  Major GPA of 3.98</w:t>
        <w:tab/>
        <w:t>April, 1986</w:t>
      </w:r>
    </w:p>
    <w:p>
      <w:pPr>
        <w:pStyle w:val="EducationLines"/>
        <w:rPr/>
      </w:pPr>
      <w:r>
        <w:rPr>
          <w:i/>
        </w:rPr>
        <w:t>Magna Cum Laude</w:t>
      </w:r>
      <w:r>
        <w:rPr/>
        <w:t>; Honors Program; Golden Key National Honor Society</w:t>
      </w:r>
    </w:p>
    <w:p>
      <w:pPr>
        <w:pStyle w:val="Section"/>
        <w:rPr/>
      </w:pPr>
      <w:r>
        <w:rPr/>
        <w:t>POSITIONS HELD</w:t>
      </w:r>
    </w:p>
    <w:p>
      <w:pPr>
        <w:pStyle w:val="Line1"/>
        <w:rPr>
          <w:b w:val="false"/>
          <w:u w:val="single"/>
        </w:rPr>
      </w:pPr>
      <w:r>
        <w:rPr/>
        <w:t xml:space="preserve">Nucleus Corporation of Texas/Caminus Corporation </w:t>
      </w:r>
      <w:r>
        <w:rPr>
          <w:b w:val="false"/>
        </w:rPr>
        <w:t>(4/99-present)</w:t>
        <w:tab/>
      </w:r>
      <w:r>
        <w:rPr>
          <w:b w:val="false"/>
          <w:iCs/>
          <w:u w:val="single"/>
        </w:rPr>
        <w:t>Quantitative Analytics Manager</w:t>
      </w:r>
    </w:p>
    <w:p>
      <w:pPr>
        <w:pStyle w:val="Line1"/>
        <w:rPr/>
      </w:pPr>
      <w:r>
        <w:rPr/>
        <w:t xml:space="preserve">El Paso Energy International (contract)  </w:t>
      </w:r>
      <w:r>
        <w:rPr>
          <w:b w:val="false"/>
        </w:rPr>
        <w:t>(10/98-1/99)</w:t>
      </w:r>
      <w:r>
        <w:rPr/>
        <w:t xml:space="preserve">  </w:t>
        <w:tab/>
      </w:r>
      <w:r>
        <w:rPr>
          <w:b w:val="false"/>
          <w:u w:val="single"/>
        </w:rPr>
        <w:t>Financial Acquisition Modeling</w:t>
      </w:r>
    </w:p>
    <w:p>
      <w:pPr>
        <w:pStyle w:val="Line1"/>
        <w:rPr>
          <w:b w:val="false"/>
        </w:rPr>
      </w:pPr>
      <w:r>
        <w:rPr/>
        <w:t>Seres Capital (Asian Corporate Partner Fund)</w:t>
      </w:r>
      <w:r>
        <w:rPr>
          <w:b w:val="false"/>
        </w:rPr>
        <w:t xml:space="preserve"> (2/96-8/98)</w:t>
        <w:tab/>
      </w:r>
      <w:r>
        <w:rPr>
          <w:b w:val="false"/>
          <w:u w:val="single"/>
        </w:rPr>
        <w:t>Research Director</w:t>
      </w:r>
    </w:p>
    <w:p>
      <w:pPr>
        <w:pStyle w:val="Line1"/>
        <w:rPr>
          <w:b w:val="false"/>
        </w:rPr>
      </w:pPr>
      <w:r>
        <w:rPr/>
        <w:t>Taiwan Semiconductor Manufacturing Corporation</w:t>
      </w:r>
      <w:r>
        <w:rPr>
          <w:b w:val="false"/>
        </w:rPr>
        <w:t xml:space="preserve"> (8/95-2/96)</w:t>
        <w:tab/>
      </w:r>
      <w:r>
        <w:rPr>
          <w:b w:val="false"/>
          <w:u w:val="single"/>
        </w:rPr>
        <w:t>Management Consultant</w:t>
      </w:r>
    </w:p>
    <w:p>
      <w:pPr>
        <w:pStyle w:val="Line1"/>
        <w:rPr>
          <w:b w:val="false"/>
        </w:rPr>
      </w:pPr>
      <w:r>
        <w:rPr/>
        <w:t>MasterLink Securities Corporation</w:t>
      </w:r>
      <w:r>
        <w:rPr>
          <w:b w:val="false"/>
        </w:rPr>
        <w:t xml:space="preserve"> (3/92-8/95)</w:t>
        <w:br/>
        <w:tab/>
      </w:r>
      <w:r>
        <w:rPr>
          <w:b w:val="false"/>
          <w:u w:val="single"/>
        </w:rPr>
        <w:t>Financial Engineering/Equity Research/QFII Sales Manager-International Department</w:t>
      </w:r>
    </w:p>
    <w:p>
      <w:pPr>
        <w:pStyle w:val="Line1"/>
        <w:rPr>
          <w:b w:val="false"/>
        </w:rPr>
      </w:pPr>
      <w:r>
        <w:rPr/>
        <w:t>Synergy International Asset Management Corp</w:t>
      </w:r>
      <w:r>
        <w:rPr>
          <w:b w:val="false"/>
        </w:rPr>
        <w:t>.(89-92)</w:t>
        <w:tab/>
      </w:r>
      <w:r>
        <w:rPr>
          <w:b w:val="false"/>
          <w:u w:val="single"/>
        </w:rPr>
        <w:t>Business Development Manager</w:t>
      </w:r>
    </w:p>
    <w:p>
      <w:pPr>
        <w:pStyle w:val="Line1"/>
        <w:rPr>
          <w:b w:val="false"/>
        </w:rPr>
      </w:pPr>
      <w:r>
        <w:rPr/>
        <w:t>FMC Corporation</w:t>
      </w:r>
      <w:r>
        <w:rPr>
          <w:b w:val="false"/>
        </w:rPr>
        <w:t xml:space="preserve"> (88-89)</w:t>
        <w:tab/>
      </w:r>
      <w:r>
        <w:rPr>
          <w:b w:val="false"/>
          <w:u w:val="single"/>
        </w:rPr>
        <w:t>Agricultural Chemical Group, International Marketing, Business Planner</w:t>
      </w:r>
    </w:p>
    <w:p>
      <w:pPr>
        <w:pStyle w:val="Line1"/>
        <w:rPr>
          <w:b w:val="false"/>
        </w:rPr>
      </w:pPr>
      <w:r>
        <w:rPr/>
        <w:t xml:space="preserve">The Chase Manhattan Bank, N.A. </w:t>
      </w:r>
      <w:r>
        <w:rPr>
          <w:b w:val="false"/>
          <w:bCs/>
        </w:rPr>
        <w:t>(Summer 87)</w:t>
      </w:r>
      <w:r>
        <w:rPr>
          <w:b w:val="false"/>
        </w:rPr>
        <w:tab/>
      </w:r>
      <w:r>
        <w:rPr>
          <w:b w:val="false"/>
          <w:u w:val="single"/>
        </w:rPr>
        <w:t>Int’l Individual Banking, Project Manager</w:t>
      </w:r>
      <w:r>
        <w:rPr>
          <w:rFonts w:eastAsia="Symbol" w:cs="Symbol" w:ascii="Symbol" w:hAnsi="Symbol"/>
          <w:b w:val="false"/>
          <w:u w:val="single"/>
        </w:rPr>
        <w:sym w:font="Symbol" w:char="f0be"/>
      </w:r>
      <w:r>
        <w:rPr>
          <w:b w:val="false"/>
          <w:u w:val="single"/>
        </w:rPr>
        <w:t>Japan</w:t>
      </w:r>
    </w:p>
    <w:p>
      <w:pPr>
        <w:pStyle w:val="Section"/>
        <w:rPr/>
      </w:pPr>
      <w:r>
        <w:rPr/>
        <w:t>PROFESSIONAL EXPERIENCE – EXPERTISE</w:t>
      </w:r>
    </w:p>
    <w:tbl>
      <w:tblPr>
        <w:tblW w:w="10512" w:type="dxa"/>
        <w:jc w:val="start"/>
        <w:tblInd w:w="0" w:type="dxa"/>
        <w:tblLayout w:type="fixed"/>
        <w:tblCellMar>
          <w:top w:w="0" w:type="dxa"/>
          <w:start w:w="108" w:type="dxa"/>
          <w:bottom w:w="0" w:type="dxa"/>
          <w:end w:w="108" w:type="dxa"/>
        </w:tblCellMar>
      </w:tblPr>
      <w:tblGrid>
        <w:gridCol w:w="2736"/>
        <w:gridCol w:w="7776"/>
      </w:tblGrid>
      <w:tr>
        <w:trPr/>
        <w:tc>
          <w:tcPr>
            <w:tcW w:w="273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0"/>
              </w:numPr>
              <w:ind w:hanging="0" w:start="0"/>
              <w:jc w:val="start"/>
              <w:rPr/>
            </w:pPr>
            <w:r>
              <w:rPr/>
              <w:t>Energy Trading and Credit Risk Management / Energy Quantitative Analytics</w:t>
            </w:r>
          </w:p>
        </w:tc>
        <w:tc>
          <w:tcPr>
            <w:tcW w:w="7776" w:type="dxa"/>
            <w:tcBorders>
              <w:top w:val="single" w:sz="4" w:space="0" w:color="000000"/>
              <w:start w:val="single" w:sz="4" w:space="0" w:color="000000"/>
              <w:bottom w:val="single" w:sz="4" w:space="0" w:color="000000"/>
              <w:end w:val="single" w:sz="4" w:space="0" w:color="000000"/>
            </w:tcBorders>
          </w:tcPr>
          <w:p>
            <w:pPr>
              <w:pStyle w:val="ExperienceBullets"/>
              <w:keepLines/>
              <w:numPr>
                <w:ilvl w:val="0"/>
                <w:numId w:val="2"/>
              </w:numPr>
              <w:ind w:hanging="216" w:start="230" w:end="0"/>
              <w:rPr/>
            </w:pPr>
            <w:r>
              <w:rPr/>
              <w:t>Researched and developed risk management and option models for leading energy software firm. Models included Delta-gamma VAR and Monte-Carlo VAR.</w:t>
            </w:r>
          </w:p>
          <w:p>
            <w:pPr>
              <w:pStyle w:val="ExperienceBullets"/>
              <w:keepLines/>
              <w:numPr>
                <w:ilvl w:val="0"/>
                <w:numId w:val="2"/>
              </w:numPr>
              <w:ind w:hanging="216" w:start="230" w:end="0"/>
              <w:rPr/>
            </w:pPr>
            <w:r>
              <w:rPr/>
              <w:t>Developed a new Credit Value-at-Risk module that takes price volatility and correlations into account rather than the standard default probability as spec’ed out in currently common Credit Risk algorithms used by banks.  Capabilities include evaluating current and prospective counter-party exposure, evaluating and optimizing counter-party credit line, counter-party Credit VAR, enterprise-wide Credit VAR, and the inclusion of cost of credit in to the valuation of energy trades.</w:t>
            </w:r>
          </w:p>
          <w:p>
            <w:pPr>
              <w:pStyle w:val="ExperienceBullets"/>
              <w:keepLines/>
              <w:numPr>
                <w:ilvl w:val="0"/>
                <w:numId w:val="2"/>
              </w:numPr>
              <w:ind w:hanging="216" w:start="230" w:end="0"/>
              <w:rPr/>
            </w:pPr>
            <w:r>
              <w:rPr/>
              <w:t>Recent developments include a real-time VAR process that provides accurate intra day VAR estimations without a full revaluation.</w:t>
            </w:r>
          </w:p>
          <w:p>
            <w:pPr>
              <w:pStyle w:val="ExperienceBullets"/>
              <w:keepLines/>
              <w:numPr>
                <w:ilvl w:val="0"/>
                <w:numId w:val="2"/>
              </w:numPr>
              <w:ind w:hanging="216" w:start="230" w:end="0"/>
              <w:rPr/>
            </w:pPr>
            <w:r>
              <w:rPr/>
              <w:t xml:space="preserve">Implemented a Value-at-Risk backtesting process allowing clients to adjust their models for increased accuracy. </w:t>
            </w:r>
          </w:p>
          <w:p>
            <w:pPr>
              <w:pStyle w:val="ExperienceBullets"/>
              <w:keepLines/>
              <w:numPr>
                <w:ilvl w:val="0"/>
                <w:numId w:val="2"/>
              </w:numPr>
              <w:ind w:hanging="216" w:start="230" w:end="0"/>
              <w:rPr/>
            </w:pPr>
            <w:r>
              <w:rPr/>
              <w:t xml:space="preserve">Published in March 2000 edition of </w:t>
            </w:r>
            <w:r>
              <w:rPr>
                <w:i/>
              </w:rPr>
              <w:t>Commodities Now</w:t>
            </w:r>
            <w:r>
              <w:rPr/>
              <w:t xml:space="preserve"> magazine an article titled </w:t>
            </w:r>
            <w:r>
              <w:rPr>
                <w:u w:val="single"/>
              </w:rPr>
              <w:t>Value-at-Risk Tradeoff:  Accuracy vs. Computational time</w:t>
            </w:r>
            <w:r>
              <w:rPr/>
              <w:t xml:space="preserve"> as a quantitative analysis of the strengths and weaknesses of various VAR models.</w:t>
            </w:r>
          </w:p>
          <w:p>
            <w:pPr>
              <w:pStyle w:val="ExperienceBullets"/>
              <w:keepLines/>
              <w:numPr>
                <w:ilvl w:val="0"/>
                <w:numId w:val="2"/>
              </w:numPr>
              <w:ind w:hanging="216" w:start="230" w:end="0"/>
              <w:rPr/>
            </w:pPr>
            <w:r>
              <w:rPr/>
              <w:t>Presented with Dr. Ehud I. Ronn, Energy Finance Professor at University of Texas, Austin, at EPRM (Energy Power &amp; Risk Management) conferences and risk training courses in Houston, Amsterdam, London, &amp; New York during the summer of 2001.  Topics included:  “Latest Techniques for the Accurate Calculation of Credit VAR”, “Integrating Credit Risk into VAR”, “Constructing the Forward Curve for VAR Analysis”, “Overcoming Obstacles to Implementing VAR in the Energy Industry”, “Applying Value-at-Risk to the Energy Industry”.  Dr. Ronn used models developed by my group as his ‘hands-on’ and ‘practical examples’ portion part of the presentation.</w:t>
            </w:r>
          </w:p>
        </w:tc>
      </w:tr>
      <w:tr>
        <w:trPr/>
        <w:tc>
          <w:tcPr>
            <w:tcW w:w="273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0"/>
              </w:numPr>
              <w:ind w:hanging="0" w:start="0"/>
              <w:jc w:val="start"/>
              <w:rPr/>
            </w:pPr>
            <w:r>
              <w:rPr/>
              <w:t>Financial Engineering / Derivative Products/ Risk Management</w:t>
            </w:r>
          </w:p>
        </w:tc>
        <w:tc>
          <w:tcPr>
            <w:tcW w:w="777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2"/>
              </w:numPr>
              <w:ind w:hanging="216" w:start="234" w:end="0"/>
              <w:rPr/>
            </w:pPr>
            <w:r>
              <w:rPr/>
              <w:t>Coordinated development plan for MasterLink’s entry into derivative product market to give MasterLink market-making capabilities producing the following revenue generation components: index arbitrage; increased commission based trading income both internally using specialized hedging and externally which included structuring corporate finance deals; fee based income for the investment banking group, and O-T-C specialized products.</w:t>
            </w:r>
          </w:p>
          <w:p>
            <w:pPr>
              <w:pStyle w:val="ExperienceBullets"/>
              <w:numPr>
                <w:ilvl w:val="0"/>
                <w:numId w:val="2"/>
              </w:numPr>
              <w:ind w:hanging="216" w:start="234" w:end="0"/>
              <w:rPr/>
            </w:pPr>
            <w:r>
              <w:rPr/>
              <w:t>Structured some of Taiwan’s first derivative products that were eventually done as O-T-C deals.  During the project was responsible for book running, training MasterLink (our cooperative securities firm) employees, and product education.</w:t>
            </w:r>
          </w:p>
        </w:tc>
      </w:tr>
      <w:tr>
        <w:trPr/>
        <w:tc>
          <w:tcPr>
            <w:tcW w:w="273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0"/>
              </w:numPr>
              <w:ind w:hanging="0" w:start="0"/>
              <w:jc w:val="start"/>
              <w:rPr/>
            </w:pPr>
            <w:r>
              <w:rPr/>
              <w:t>Project Finance/Accounting</w:t>
            </w:r>
          </w:p>
          <w:p>
            <w:pPr>
              <w:pStyle w:val="ExperienceBullets"/>
              <w:numPr>
                <w:ilvl w:val="0"/>
                <w:numId w:val="0"/>
              </w:numPr>
              <w:ind w:hanging="0" w:start="0"/>
              <w:jc w:val="start"/>
              <w:rPr/>
            </w:pPr>
            <w:r>
              <w:rPr/>
              <w:t>Corporate Finance/M&amp;A</w:t>
            </w:r>
          </w:p>
          <w:p>
            <w:pPr>
              <w:pStyle w:val="ExperienceBullets"/>
              <w:numPr>
                <w:ilvl w:val="0"/>
                <w:numId w:val="0"/>
              </w:numPr>
              <w:ind w:hanging="0" w:start="0"/>
              <w:jc w:val="start"/>
              <w:rPr/>
            </w:pPr>
            <w:r>
              <w:rPr/>
              <w:t>Financial Modeling</w:t>
            </w:r>
          </w:p>
        </w:tc>
        <w:tc>
          <w:tcPr>
            <w:tcW w:w="777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2"/>
              </w:numPr>
              <w:ind w:hanging="216" w:start="234" w:end="0"/>
              <w:rPr/>
            </w:pPr>
            <w:r>
              <w:rPr/>
              <w:t>Conducted in-depth analysis of direct investment projects for a direct investment fund Asian Corporate Partner’s Fund funded at $150 million.  Management company (Ceres) was sponsored by the successful state/party-run CDC (China Investment Corporation) and targeted direct investment made by previous listed clients in support of the R.O.C. government’s “Go South” investment strategy aimed at maintaining Taiwanese manufacturing and trading superiority.</w:t>
            </w:r>
          </w:p>
          <w:p>
            <w:pPr>
              <w:pStyle w:val="ExperienceBullets"/>
              <w:numPr>
                <w:ilvl w:val="0"/>
                <w:numId w:val="2"/>
              </w:numPr>
              <w:ind w:hanging="216" w:start="234" w:end="0"/>
              <w:rPr/>
            </w:pPr>
            <w:r>
              <w:rPr/>
              <w:t>Modeled and performed due diligence analysis for two corporate acquisitions of international power generation firms valued at $110 million and $53 million.</w:t>
            </w:r>
          </w:p>
          <w:p>
            <w:pPr>
              <w:pStyle w:val="ExperienceBullets"/>
              <w:numPr>
                <w:ilvl w:val="0"/>
                <w:numId w:val="2"/>
              </w:numPr>
              <w:ind w:hanging="216" w:start="234" w:end="0"/>
              <w:rPr/>
            </w:pPr>
            <w:r>
              <w:rPr/>
              <w:t>Submitted investment recommendations to board of directors of which 65% of capital came from non-R.O.C. financial institutions.</w:t>
            </w:r>
          </w:p>
          <w:p>
            <w:pPr>
              <w:pStyle w:val="ExperienceBullets"/>
              <w:numPr>
                <w:ilvl w:val="0"/>
                <w:numId w:val="2"/>
              </w:numPr>
              <w:ind w:hanging="216" w:start="234" w:end="0"/>
              <w:rPr/>
            </w:pPr>
            <w:r>
              <w:rPr/>
              <w:t>Sourced potential investment targets/projects from own pool of clientele.</w:t>
            </w:r>
          </w:p>
          <w:p>
            <w:pPr>
              <w:pStyle w:val="ExperienceBullets"/>
              <w:numPr>
                <w:ilvl w:val="0"/>
                <w:numId w:val="2"/>
              </w:numPr>
              <w:ind w:hanging="216" w:start="234" w:end="0"/>
              <w:rPr/>
            </w:pPr>
            <w:r>
              <w:rPr/>
              <w:t>Designed $40 million unit trust fund to invest in SE Asian Regional projects.  Functions included prospectus design, investment proposal evaluation and recommendations, marketing, and liquid fund management plan.</w:t>
            </w:r>
          </w:p>
        </w:tc>
      </w:tr>
      <w:tr>
        <w:trPr/>
        <w:tc>
          <w:tcPr>
            <w:tcW w:w="273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0"/>
              </w:numPr>
              <w:ind w:hanging="0" w:start="0"/>
              <w:jc w:val="start"/>
              <w:rPr/>
            </w:pPr>
            <w:r>
              <w:rPr/>
              <w:t>Securities Analysis/ International Economist</w:t>
            </w:r>
          </w:p>
        </w:tc>
        <w:tc>
          <w:tcPr>
            <w:tcW w:w="777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2"/>
              </w:numPr>
              <w:ind w:hanging="216" w:start="234" w:end="0"/>
              <w:rPr/>
            </w:pPr>
            <w:r>
              <w:rPr/>
              <w:t>Wrote and published quarterly Southeast Asian Economic Review which covered China, Hong Kong, Indonesia, Japan, Korea, Malaysia, the Philippines, Singapore, Taiwan, &amp; Thailand operational business and macroeconomic conditions.</w:t>
            </w:r>
          </w:p>
          <w:p>
            <w:pPr>
              <w:pStyle w:val="ExperienceBullets"/>
              <w:numPr>
                <w:ilvl w:val="0"/>
                <w:numId w:val="2"/>
              </w:numPr>
              <w:ind w:hanging="216" w:start="234" w:end="0"/>
              <w:rPr/>
            </w:pPr>
            <w:r>
              <w:rPr/>
              <w:t>Led equity research team that provided research to QFII (Qualified Foreign International Investors) in the TaiEx (Taiwan Stock Exchange).  At the time daily turnover of the exchange ranked in the top five globally.  Most popular stocks researched were technology, financial, shipping, and electrical</w:t>
            </w:r>
          </w:p>
        </w:tc>
      </w:tr>
      <w:tr>
        <w:trPr/>
        <w:tc>
          <w:tcPr>
            <w:tcW w:w="273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0"/>
              </w:numPr>
              <w:ind w:hanging="0" w:start="0"/>
              <w:jc w:val="start"/>
              <w:rPr/>
            </w:pPr>
            <w:r>
              <w:rPr/>
              <w:t>Securities Sales &amp; Trading</w:t>
            </w:r>
          </w:p>
        </w:tc>
        <w:tc>
          <w:tcPr>
            <w:tcW w:w="777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2"/>
              </w:numPr>
              <w:ind w:hanging="216" w:start="234" w:end="0"/>
              <w:rPr/>
            </w:pPr>
            <w:r>
              <w:rPr/>
              <w:t>Managed securities sales to MasterLink’s portfolio of QFII as International Sales Manager.</w:t>
            </w:r>
          </w:p>
        </w:tc>
      </w:tr>
      <w:tr>
        <w:trPr/>
        <w:tc>
          <w:tcPr>
            <w:tcW w:w="273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0"/>
              </w:numPr>
              <w:ind w:hanging="0" w:start="0"/>
              <w:jc w:val="start"/>
              <w:rPr/>
            </w:pPr>
            <w:r>
              <w:rPr/>
              <w:t>Information Systems/SAP</w:t>
            </w:r>
          </w:p>
        </w:tc>
        <w:tc>
          <w:tcPr>
            <w:tcW w:w="777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2"/>
              </w:numPr>
              <w:ind w:hanging="216" w:start="234" w:end="0"/>
              <w:rPr/>
            </w:pPr>
            <w:r>
              <w:rPr/>
              <w:t>Laid out documentation process for a major project implementing the SAP R/3 system.  Revised the corporate operational handbook significantly due to a number of processes that  changed due to the implementation of the new system.</w:t>
            </w:r>
          </w:p>
          <w:p>
            <w:pPr>
              <w:pStyle w:val="ExperienceBullets"/>
              <w:numPr>
                <w:ilvl w:val="0"/>
                <w:numId w:val="2"/>
              </w:numPr>
              <w:ind w:hanging="216" w:start="234" w:end="0"/>
              <w:rPr/>
            </w:pPr>
            <w:r>
              <w:rPr/>
              <w:t>Implemented time- and resource-saving processes for finance and accounting departments.</w:t>
            </w:r>
          </w:p>
          <w:p>
            <w:pPr>
              <w:pStyle w:val="ExperienceBullets"/>
              <w:numPr>
                <w:ilvl w:val="0"/>
                <w:numId w:val="2"/>
              </w:numPr>
              <w:ind w:hanging="216" w:start="234" w:end="0"/>
              <w:rPr/>
            </w:pPr>
            <w:r>
              <w:rPr/>
              <w:t>Designed the intranet web site used among project members as the vehicle for collaborative writing and communication.</w:t>
            </w:r>
          </w:p>
        </w:tc>
      </w:tr>
      <w:tr>
        <w:trPr/>
        <w:tc>
          <w:tcPr>
            <w:tcW w:w="273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0"/>
              </w:numPr>
              <w:ind w:hanging="0" w:start="0"/>
              <w:jc w:val="start"/>
              <w:rPr/>
            </w:pPr>
            <w:r>
              <w:rPr/>
              <w:t>Corporate Trainer</w:t>
            </w:r>
          </w:p>
        </w:tc>
        <w:tc>
          <w:tcPr>
            <w:tcW w:w="7776" w:type="dxa"/>
            <w:tcBorders>
              <w:top w:val="single" w:sz="4" w:space="0" w:color="000000"/>
              <w:start w:val="single" w:sz="4" w:space="0" w:color="000000"/>
              <w:bottom w:val="single" w:sz="4" w:space="0" w:color="000000"/>
              <w:end w:val="single" w:sz="4" w:space="0" w:color="000000"/>
            </w:tcBorders>
          </w:tcPr>
          <w:p>
            <w:pPr>
              <w:pStyle w:val="ExperienceBullets"/>
              <w:keepNext w:val="true"/>
              <w:keepLines/>
              <w:numPr>
                <w:ilvl w:val="0"/>
                <w:numId w:val="2"/>
              </w:numPr>
              <w:ind w:hanging="216" w:start="234" w:end="0"/>
              <w:rPr/>
            </w:pPr>
            <w:r>
              <w:rPr/>
              <w:t>Co-founded successful management consulting and training company which focused on cross-cultural understanding and communication product, service development writing, and management training on quality empowerment.</w:t>
            </w:r>
          </w:p>
          <w:p>
            <w:pPr>
              <w:pStyle w:val="ExperienceBullets"/>
              <w:keepNext w:val="true"/>
              <w:keepLines/>
              <w:numPr>
                <w:ilvl w:val="0"/>
                <w:numId w:val="2"/>
              </w:numPr>
              <w:ind w:hanging="216" w:start="234" w:end="0"/>
              <w:rPr/>
            </w:pPr>
            <w:r>
              <w:rPr/>
              <w:t>Provided consulting services to clients which included major corporate clients such as:  IBM, Avon, ICI, Ford, AT&amp;T, Shell, Ciba, Procter &amp; Gamble, CAPCO, Wellcome, Mobil, Swisspharma, Jardine Matheson, Glaxo.</w:t>
            </w:r>
          </w:p>
          <w:p>
            <w:pPr>
              <w:pStyle w:val="ExperienceBullets"/>
              <w:keepLines/>
              <w:numPr>
                <w:ilvl w:val="0"/>
                <w:numId w:val="2"/>
              </w:numPr>
              <w:ind w:hanging="216" w:start="234" w:end="0"/>
              <w:rPr/>
            </w:pPr>
            <w:r>
              <w:rPr/>
              <w:t>Co-designed and conducted 24-hour training program for the Taiwan market complete with a 98-page bilingual textbook on logical analysis and clear communication.</w:t>
            </w:r>
          </w:p>
        </w:tc>
      </w:tr>
      <w:tr>
        <w:trPr/>
        <w:tc>
          <w:tcPr>
            <w:tcW w:w="273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0"/>
              </w:numPr>
              <w:ind w:hanging="0" w:start="0"/>
              <w:jc w:val="start"/>
              <w:rPr/>
            </w:pPr>
            <w:r>
              <w:rPr/>
              <w:t>International Trade/Marketing/ Business Planning</w:t>
            </w:r>
          </w:p>
        </w:tc>
        <w:tc>
          <w:tcPr>
            <w:tcW w:w="777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2"/>
              </w:numPr>
              <w:ind w:hanging="216" w:start="234" w:end="0"/>
              <w:rPr/>
            </w:pPr>
            <w:r>
              <w:rPr/>
              <w:t xml:space="preserve">Had entrepreneurial successes featured as cover story in </w:t>
            </w:r>
            <w:r>
              <w:rPr>
                <w:i/>
              </w:rPr>
              <w:t>The China Times Weekly</w:t>
            </w:r>
            <w:r>
              <w:rPr>
                <w:rFonts w:eastAsia="Symbol" w:cs="Symbol" w:ascii="Symbol" w:hAnsi="Symbol"/>
              </w:rPr>
              <w:sym w:font="Symbol" w:char="f0be"/>
            </w:r>
            <w:r>
              <w:rPr/>
              <w:t xml:space="preserve">Taiwan’s largest weekly news magazine, March 31-April 6, 1985 issue. </w:t>
            </w:r>
          </w:p>
          <w:p>
            <w:pPr>
              <w:pStyle w:val="ExperienceBullets"/>
              <w:numPr>
                <w:ilvl w:val="0"/>
                <w:numId w:val="2"/>
              </w:numPr>
              <w:ind w:hanging="216" w:start="234" w:end="0"/>
              <w:rPr/>
            </w:pPr>
            <w:r>
              <w:rPr/>
              <w:t>Reviewed marketing and distribution strategy and recommended plan for efficient and broad penetration to the China market to protect market leadership.</w:t>
            </w:r>
          </w:p>
          <w:p>
            <w:pPr>
              <w:pStyle w:val="ExperienceBullets"/>
              <w:numPr>
                <w:ilvl w:val="0"/>
                <w:numId w:val="2"/>
              </w:numPr>
              <w:ind w:hanging="216" w:start="234" w:end="0"/>
              <w:rPr/>
            </w:pPr>
            <w:r>
              <w:rPr/>
              <w:t>Conducted profitability analysis for acquisition or development of new high performance products in the worldwide pyhrethroid market as strategy to replace current products threatened by generic competition.</w:t>
            </w:r>
          </w:p>
          <w:p>
            <w:pPr>
              <w:pStyle w:val="ExperienceBullets"/>
              <w:numPr>
                <w:ilvl w:val="0"/>
                <w:numId w:val="2"/>
              </w:numPr>
              <w:ind w:hanging="216" w:start="234" w:end="0"/>
              <w:rPr/>
            </w:pPr>
            <w:r>
              <w:rPr/>
              <w:t>Initiated and developed marketing information system that enables all group product managers to make strategic decisions to compete against generic competition and to find high value marketing niches.</w:t>
            </w:r>
          </w:p>
          <w:p>
            <w:pPr>
              <w:pStyle w:val="ExperienceBullets"/>
              <w:numPr>
                <w:ilvl w:val="0"/>
                <w:numId w:val="2"/>
              </w:numPr>
              <w:ind w:hanging="216" w:start="234" w:end="0"/>
              <w:rPr/>
            </w:pPr>
            <w:r>
              <w:rPr/>
              <w:t>Analyzed Chase’s portfolio and assessed the position and trends of existing clientele as part of strategic plan development for Chase Manhattan Bank</w:t>
            </w:r>
            <w:r>
              <w:rPr>
                <w:rFonts w:eastAsia="Symbol" w:cs="Symbol" w:ascii="Symbol" w:hAnsi="Symbol"/>
              </w:rPr>
              <w:sym w:font="Symbol" w:char="f0be"/>
            </w:r>
            <w:r>
              <w:rPr/>
              <w:t>Tokyo.</w:t>
            </w:r>
          </w:p>
          <w:p>
            <w:pPr>
              <w:pStyle w:val="ExperienceBullets"/>
              <w:numPr>
                <w:ilvl w:val="0"/>
                <w:numId w:val="2"/>
              </w:numPr>
              <w:ind w:hanging="216" w:start="234" w:end="0"/>
              <w:rPr/>
            </w:pPr>
            <w:r>
              <w:rPr/>
              <w:t>Assessed commercial banking products offered in the Tokyo market relative to determining the direction of Chase’s niche strategy focus in anticipation of Tokyo’s financial market deregulation.</w:t>
            </w:r>
          </w:p>
          <w:p>
            <w:pPr>
              <w:pStyle w:val="ExperienceBullets"/>
              <w:numPr>
                <w:ilvl w:val="0"/>
                <w:numId w:val="2"/>
              </w:numPr>
              <w:ind w:hanging="216" w:start="234" w:end="0"/>
              <w:rPr/>
            </w:pPr>
            <w:r>
              <w:rPr/>
              <w:t>Developed export markets in Europe and the United States for expanding Taiwanese computer hardware manufacturer.</w:t>
            </w:r>
          </w:p>
        </w:tc>
      </w:tr>
      <w:tr>
        <w:trPr/>
        <w:tc>
          <w:tcPr>
            <w:tcW w:w="273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0"/>
              </w:numPr>
              <w:ind w:hanging="0" w:start="0"/>
              <w:jc w:val="start"/>
              <w:rPr/>
            </w:pPr>
            <w:r>
              <w:rPr/>
              <w:t>Computing Skills</w:t>
            </w:r>
          </w:p>
        </w:tc>
        <w:tc>
          <w:tcPr>
            <w:tcW w:w="777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2"/>
              </w:numPr>
              <w:ind w:hanging="216" w:start="234" w:end="0"/>
              <w:rPr/>
            </w:pPr>
            <w:r>
              <w:rPr/>
              <w:t>Well versed in all aspects of Excel, Word, Powerpoint, Access, Internet Applications, and Win95.  Also possess good knowledge of PL/SQL, and Oracle Developer (Forms).</w:t>
            </w:r>
          </w:p>
        </w:tc>
      </w:tr>
    </w:tbl>
    <w:p>
      <w:pPr>
        <w:pStyle w:val="Section"/>
        <w:rPr/>
      </w:pPr>
      <w:r>
        <w:rPr/>
        <w:t>FOREIGN LANGUAGE PROFICIENCY</w:t>
      </w:r>
    </w:p>
    <w:tbl>
      <w:tblPr>
        <w:tblW w:w="10512" w:type="dxa"/>
        <w:jc w:val="start"/>
        <w:tblInd w:w="0" w:type="dxa"/>
        <w:tblLayout w:type="fixed"/>
        <w:tblCellMar>
          <w:top w:w="0" w:type="dxa"/>
          <w:start w:w="108" w:type="dxa"/>
          <w:bottom w:w="0" w:type="dxa"/>
          <w:end w:w="108" w:type="dxa"/>
        </w:tblCellMar>
      </w:tblPr>
      <w:tblGrid>
        <w:gridCol w:w="2736"/>
        <w:gridCol w:w="7776"/>
      </w:tblGrid>
      <w:tr>
        <w:trPr/>
        <w:tc>
          <w:tcPr>
            <w:tcW w:w="2736" w:type="dxa"/>
            <w:tcBorders>
              <w:top w:val="single" w:sz="4" w:space="0" w:color="000000"/>
              <w:start w:val="single" w:sz="4" w:space="0" w:color="000000"/>
              <w:bottom w:val="single" w:sz="4" w:space="0" w:color="000000"/>
              <w:end w:val="single" w:sz="4" w:space="0" w:color="000000"/>
            </w:tcBorders>
          </w:tcPr>
          <w:p>
            <w:pPr>
              <w:pStyle w:val="ListBullet"/>
              <w:rPr/>
            </w:pPr>
            <w:r>
              <w:rPr/>
              <w:t>Native Mandarin Chinese Fluency</w:t>
            </w:r>
          </w:p>
        </w:tc>
        <w:tc>
          <w:tcPr>
            <w:tcW w:w="7776" w:type="dxa"/>
            <w:tcBorders>
              <w:top w:val="single" w:sz="4" w:space="0" w:color="000000"/>
              <w:start w:val="single" w:sz="4" w:space="0" w:color="000000"/>
              <w:bottom w:val="single" w:sz="4" w:space="0" w:color="000000"/>
              <w:end w:val="single" w:sz="4" w:space="0" w:color="000000"/>
            </w:tcBorders>
          </w:tcPr>
          <w:p>
            <w:pPr>
              <w:pStyle w:val="ExperienceBullets"/>
              <w:keepNext w:val="true"/>
              <w:keepLines/>
              <w:numPr>
                <w:ilvl w:val="0"/>
                <w:numId w:val="2"/>
              </w:numPr>
              <w:ind w:hanging="216" w:start="234" w:end="0"/>
              <w:rPr/>
            </w:pPr>
            <w:r>
              <w:rPr/>
              <w:t>Fluent in all levels of language:  oral and written</w:t>
            </w:r>
            <w:r>
              <w:rPr>
                <w:rFonts w:eastAsia="Symbol" w:cs="Symbol" w:ascii="Symbol" w:hAnsi="Symbol"/>
              </w:rPr>
              <w:sym w:font="Symbol" w:char="f0be"/>
            </w:r>
            <w:r>
              <w:rPr/>
              <w:t>classical and contemporary</w:t>
            </w:r>
          </w:p>
          <w:p>
            <w:pPr>
              <w:pStyle w:val="ExperienceBullets"/>
              <w:keepNext w:val="true"/>
              <w:keepLines/>
              <w:numPr>
                <w:ilvl w:val="0"/>
                <w:numId w:val="2"/>
              </w:numPr>
              <w:ind w:hanging="216" w:start="234" w:end="0"/>
              <w:rPr/>
            </w:pPr>
            <w:r>
              <w:rPr/>
              <w:t>Proficient in reading financial prospectus and due diligence financial reports</w:t>
            </w:r>
          </w:p>
          <w:p>
            <w:pPr>
              <w:pStyle w:val="ExperienceBullets"/>
              <w:keepNext w:val="true"/>
              <w:keepLines/>
              <w:numPr>
                <w:ilvl w:val="0"/>
                <w:numId w:val="2"/>
              </w:numPr>
              <w:tabs>
                <w:tab w:val="clear" w:pos="720"/>
                <w:tab w:val="right" w:pos="7344" w:leader="none"/>
              </w:tabs>
              <w:ind w:hanging="216" w:start="234" w:end="0"/>
              <w:rPr/>
            </w:pPr>
            <w:r>
              <w:rPr/>
              <w:t>1st Place, Taipei Hsi-Men Rotary Club Mandarin Speech Contest</w:t>
              <w:tab/>
              <w:t>September, 1984</w:t>
            </w:r>
          </w:p>
        </w:tc>
      </w:tr>
      <w:tr>
        <w:trPr/>
        <w:tc>
          <w:tcPr>
            <w:tcW w:w="2736" w:type="dxa"/>
            <w:tcBorders>
              <w:top w:val="single" w:sz="4" w:space="0" w:color="000000"/>
              <w:start w:val="single" w:sz="4" w:space="0" w:color="000000"/>
              <w:bottom w:val="single" w:sz="4" w:space="0" w:color="000000"/>
              <w:end w:val="single" w:sz="4" w:space="0" w:color="000000"/>
            </w:tcBorders>
          </w:tcPr>
          <w:p>
            <w:pPr>
              <w:pStyle w:val="ExperienceBullets"/>
              <w:numPr>
                <w:ilvl w:val="0"/>
                <w:numId w:val="0"/>
              </w:numPr>
              <w:ind w:hanging="0" w:start="0"/>
              <w:jc w:val="start"/>
              <w:rPr/>
            </w:pPr>
            <w:r>
              <w:rPr/>
              <w:t>Japanese</w:t>
            </w:r>
          </w:p>
        </w:tc>
        <w:tc>
          <w:tcPr>
            <w:tcW w:w="7776" w:type="dxa"/>
            <w:tcBorders>
              <w:top w:val="single" w:sz="4" w:space="0" w:color="000000"/>
              <w:start w:val="single" w:sz="4" w:space="0" w:color="000000"/>
              <w:bottom w:val="single" w:sz="4" w:space="0" w:color="000000"/>
              <w:end w:val="single" w:sz="4" w:space="0" w:color="000000"/>
            </w:tcBorders>
          </w:tcPr>
          <w:p>
            <w:pPr>
              <w:pStyle w:val="ExperienceBullets"/>
              <w:keepNext w:val="true"/>
              <w:keepLines/>
              <w:numPr>
                <w:ilvl w:val="0"/>
                <w:numId w:val="2"/>
              </w:numPr>
              <w:ind w:hanging="216" w:start="234" w:end="0"/>
              <w:rPr/>
            </w:pPr>
            <w:r>
              <w:rPr/>
              <w:t>Working knowledge with two years study and professional experience in Japan</w:t>
            </w:r>
          </w:p>
        </w:tc>
      </w:tr>
    </w:tbl>
    <w:p>
      <w:pPr>
        <w:pStyle w:val="Line1"/>
        <w:rPr>
          <w:b w:val="false"/>
        </w:rPr>
      </w:pPr>
      <w:r>
        <w:rPr>
          <w:b w:val="false"/>
        </w:rPr>
      </w:r>
    </w:p>
    <w:sectPr>
      <w:type w:val="nextPage"/>
      <w:pgSz w:w="12240" w:h="15840"/>
      <w:pgMar w:left="1080" w:right="108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stleT">
    <w:altName w:val="Lucida Sans Unicode"/>
    <w:charset w:val="00" w:characterSet="windows-1252"/>
    <w:family w:val="swiss"/>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Book Antiqua">
    <w:charset w:val="00" w:characterSet="windows-1252"/>
    <w:family w:val="roman"/>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216"/>
        </w:tabs>
        <w:ind w:start="360" w:hanging="216"/>
      </w:pPr>
      <w:rPr>
        <w:rFonts w:ascii="Symbol" w:hAnsi="Symbol" w:cs="Symbol" w:hint="default"/>
      </w:rPr>
    </w:lvl>
  </w:abstractNum>
  <w:abstractNum w:abstractNumId="3">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astleT;Lucida Sans Unicode" w:hAnsi="CastleT;Lucida Sans Unicode" w:cs="CastleT;Lucida Sans Unicode"/>
      <w:b/>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St1z0">
    <w:name w:val="WW8NumSt1z0"/>
    <w:qFormat/>
    <w:rPr>
      <w:rFonts w:ascii="Symbol" w:hAnsi="Symbol" w:cs="Symbol"/>
    </w:rPr>
  </w:style>
  <w:style w:type="character" w:styleId="WW8NumSt12z0">
    <w:name w:val="WW8NumSt12z0"/>
    <w:qFormat/>
    <w:rPr>
      <w:rFonts w:ascii="Courier" w:hAnsi="Courier" w:cs="Courier"/>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DBG">
    <w:name w:val="DBG"/>
    <w:basedOn w:val="Normal"/>
    <w:qFormat/>
    <w:pPr>
      <w:spacing w:before="0" w:after="60"/>
      <w:jc w:val="center"/>
    </w:pPr>
    <w:rPr>
      <w:rFonts w:ascii="Arial" w:hAnsi="Arial" w:cs="Arial"/>
      <w:b/>
      <w:sz w:val="28"/>
    </w:rPr>
  </w:style>
  <w:style w:type="paragraph" w:styleId="Lines12">
    <w:name w:val="Lines 1&amp;2"/>
    <w:basedOn w:val="Normal"/>
    <w:qFormat/>
    <w:pPr>
      <w:keepNext w:val="true"/>
      <w:tabs>
        <w:tab w:val="clear" w:pos="720"/>
        <w:tab w:val="right" w:pos="10080" w:leader="none"/>
      </w:tabs>
    </w:pPr>
    <w:rPr>
      <w:rFonts w:ascii="Arial" w:hAnsi="Arial" w:cs="Arial"/>
      <w:b/>
      <w:sz w:val="22"/>
    </w:rPr>
  </w:style>
  <w:style w:type="paragraph" w:styleId="Section">
    <w:name w:val="Section"/>
    <w:basedOn w:val="Normal"/>
    <w:qFormat/>
    <w:pPr>
      <w:spacing w:before="240" w:after="60"/>
      <w:jc w:val="center"/>
    </w:pPr>
    <w:rPr>
      <w:rFonts w:ascii="Arial" w:hAnsi="Arial" w:cs="Arial"/>
      <w:b/>
      <w:sz w:val="22"/>
    </w:rPr>
  </w:style>
  <w:style w:type="paragraph" w:styleId="EducationLines">
    <w:name w:val="EducationLines"/>
    <w:basedOn w:val="Normal"/>
    <w:qFormat/>
    <w:pPr>
      <w:tabs>
        <w:tab w:val="clear" w:pos="720"/>
        <w:tab w:val="right" w:pos="10080" w:leader="none"/>
      </w:tabs>
      <w:ind w:hanging="0" w:start="288" w:end="0"/>
    </w:pPr>
    <w:rPr>
      <w:rFonts w:ascii="Book Antiqua" w:hAnsi="Book Antiqua" w:cs="Book Antiqua"/>
    </w:rPr>
  </w:style>
  <w:style w:type="paragraph" w:styleId="ExperienceBullets">
    <w:name w:val="ExperienceBullets"/>
    <w:basedOn w:val="Normal"/>
    <w:qFormat/>
    <w:pPr>
      <w:numPr>
        <w:ilvl w:val="0"/>
        <w:numId w:val="3"/>
      </w:numPr>
      <w:ind w:hanging="216" w:start="360" w:end="0"/>
      <w:jc w:val="both"/>
    </w:pPr>
    <w:rPr>
      <w:rFonts w:ascii="Book Antiqua" w:hAnsi="Book Antiqua" w:cs="Book Antiqua"/>
    </w:rPr>
  </w:style>
  <w:style w:type="paragraph" w:styleId="Line1">
    <w:name w:val="Line 1"/>
    <w:basedOn w:val="Lines12"/>
    <w:qFormat/>
    <w:pPr>
      <w:spacing w:before="120" w:after="0"/>
    </w:pPr>
    <w:rPr/>
  </w:style>
  <w:style w:type="paragraph" w:styleId="Line2">
    <w:name w:val="Line 2"/>
    <w:basedOn w:val="Lines12"/>
    <w:qFormat/>
    <w:pPr/>
    <w:rPr/>
  </w:style>
  <w:style w:type="paragraph" w:styleId="ListBullet">
    <w:name w:val="List Bulle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2001-06-06T16:08:00Z</dcterms:created>
  <dc:creator>David B. Good</dc:creator>
  <dc:description/>
  <dc:language>en-CA</dc:language>
  <cp:lastModifiedBy>DGood</cp:lastModifiedBy>
  <cp:lastPrinted>1999-01-14T16:36:00Z</cp:lastPrinted>
  <dcterms:modified xsi:type="dcterms:W3CDTF">2001-06-16T12:10:00Z</dcterms:modified>
  <cp:revision>12</cp:revision>
  <dc:subject/>
  <dc:title>David B. Good</dc:title>
</cp:coreProperties>
</file>