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widowControl/>
        <w:tabs>
          <w:tab w:val="clear" w:pos="720"/>
          <w:tab w:val="center" w:pos="4680" w:leader="none"/>
        </w:tabs>
        <w:rPr>
          <w:rFonts w:ascii="Times New Roman" w:hAnsi="Times New Roman" w:cs="Times New Roman"/>
        </w:rPr>
      </w:pPr>
      <w:bookmarkStart w:id="0" w:name="QuickMark"/>
      <w:bookmarkEnd w:id="0"/>
      <w:r>
        <w:rPr>
          <w:rFonts w:cs="Times New Roman" w:ascii="Times New Roman" w:hAnsi="Times New Roman"/>
        </w:rPr>
        <w:t>BEFORE THE PUBLIC UTILITIES COMMISSION OF THE STATE OF CALIFORNIA</w:t>
      </w:r>
    </w:p>
    <w:p>
      <w:pPr>
        <w:pStyle w:val="Normal"/>
        <w:rPr>
          <w:rFonts w:ascii="Times New Roman" w:hAnsi="Times New Roman" w:cs="Times New Roman"/>
          <w:b/>
        </w:rPr>
      </w:pPr>
      <w:r>
        <w:rPr>
          <w:rFonts w:cs="Times New Roman"/>
          <w:b/>
        </w:rPr>
      </w:r>
    </w:p>
    <w:p>
      <w:pPr>
        <w:pStyle w:val="titlebar"/>
        <w:rPr>
          <w:b w:val="false"/>
        </w:rPr>
      </w:pPr>
      <w:r>
        <w:rPr>
          <w:b w:val="false"/>
        </w:rPr>
      </w:r>
    </w:p>
    <w:tbl>
      <w:tblPr>
        <w:tblW w:w="9360" w:type="dxa"/>
        <w:jc w:val="start"/>
        <w:tblInd w:w="104" w:type="dxa"/>
        <w:tblLayout w:type="fixed"/>
        <w:tblCellMar>
          <w:top w:w="0" w:type="dxa"/>
          <w:start w:w="104" w:type="dxa"/>
          <w:bottom w:w="0" w:type="dxa"/>
          <w:end w:w="104" w:type="dxa"/>
        </w:tblCellMar>
      </w:tblPr>
      <w:tblGrid>
        <w:gridCol w:w="5850"/>
        <w:gridCol w:w="3510"/>
      </w:tblGrid>
      <w:tr>
        <w:trPr/>
        <w:tc>
          <w:tcPr>
            <w:tcW w:w="5850" w:type="dxa"/>
            <w:tcBorders>
              <w:top w:val="single" w:sz="6" w:space="0" w:color="000000"/>
              <w:bottom w:val="single" w:sz="6" w:space="0" w:color="000000"/>
              <w:end w:val="single" w:sz="6" w:space="0" w:color="000000"/>
            </w:tcBorders>
          </w:tcPr>
          <w:p>
            <w:pPr>
              <w:pStyle w:val="Normal"/>
              <w:tabs>
                <w:tab w:val="clear" w:pos="720"/>
                <w:tab w:val="left" w:pos="-1440" w:leader="none"/>
                <w:tab w:val="left" w:pos="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Application of Pacific Gas and Electric Company for verification, consolidation, and approval of costs and revenues in the transition revenue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4"/>
              <w:rPr/>
            </w:pPr>
            <w:r>
              <w:rPr/>
            </w:r>
          </w:p>
        </w:tc>
        <w:tc>
          <w:tcPr>
            <w:tcW w:w="351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A. 98-07-003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4"/>
              <w:jc w:val="center"/>
              <w:rPr/>
            </w:pPr>
            <w:r>
              <w:rPr/>
            </w:r>
          </w:p>
        </w:tc>
      </w:tr>
      <w:tr>
        <w:trPr/>
        <w:tc>
          <w:tcPr>
            <w:tcW w:w="5850" w:type="dxa"/>
            <w:tcBorders>
              <w:top w:val="single" w:sz="6" w:space="0" w:color="000000"/>
              <w:bottom w:val="single" w:sz="6" w:space="0" w:color="000000"/>
              <w:end w:val="single" w:sz="6" w:space="0" w:color="000000"/>
            </w:tcBorders>
          </w:tcPr>
          <w:p>
            <w:pPr>
              <w:pStyle w:val="Normal"/>
              <w:tabs>
                <w:tab w:val="clear" w:pos="720"/>
                <w:tab w:val="left" w:pos="-1440" w:leader="none"/>
                <w:tab w:val="left" w:pos="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pPr>
            <w:r>
              <w:rPr/>
            </w:r>
          </w:p>
          <w:p>
            <w:pPr>
              <w:pStyle w:val="Normal"/>
              <w:tabs>
                <w:tab w:val="clear" w:pos="720"/>
                <w:tab w:val="left" w:pos="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And Related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4"/>
              <w:rPr/>
            </w:pPr>
            <w:r>
              <w:rPr/>
            </w:r>
          </w:p>
        </w:tc>
        <w:tc>
          <w:tcPr>
            <w:tcW w:w="351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A. 98-07-006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4"/>
              <w:jc w:val="center"/>
              <w:rPr/>
            </w:pPr>
            <w:r>
              <w:rPr/>
              <w:t xml:space="preserve">A.98-07-026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32"/>
        </w:rPr>
      </w:pPr>
      <w:r>
        <w:rPr>
          <w:b/>
          <w:sz w:val="32"/>
        </w:rPr>
        <w:t xml:space="preserve">COMMENTS OF THE UTILITY REFORM NETWORK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32"/>
        </w:rPr>
      </w:pPr>
      <w:r>
        <w:rPr>
          <w:b/>
          <w:sz w:val="32"/>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32"/>
        </w:rPr>
      </w:pPr>
      <w:r>
        <w:rPr>
          <w:b/>
          <w:sz w:val="32"/>
        </w:rPr>
        <w:t>REGARDING THE URGENT NEED TO REVERSE</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32"/>
        </w:rPr>
      </w:pPr>
      <w:r>
        <w:rPr>
          <w:b/>
          <w:sz w:val="32"/>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32"/>
        </w:rPr>
      </w:pPr>
      <w:r>
        <w:rPr>
          <w:b/>
          <w:sz w:val="32"/>
        </w:rPr>
        <w:t>THE CALIFORNIA DIRECT ACCESS GOLD RUSH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32"/>
        </w:rPr>
      </w:pPr>
      <w:r>
        <w:rPr>
          <w:b/>
          <w:sz w:val="32"/>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November 2, 2001</w:t>
        <w:tab/>
        <w:tab/>
        <w:tab/>
        <w:tab/>
        <w:tab/>
      </w:r>
      <w:r>
        <w:rPr>
          <w:b/>
        </w:rPr>
        <w:t>THE UTILITY REFORM NETWORK</w:t>
      </w:r>
      <w:r>
        <w:rPr/>
        <w:t xml:space="preserve"> </w:t>
      </w:r>
    </w:p>
    <w:p>
      <w:pPr>
        <w:pStyle w:val="Normal"/>
        <w:rPr/>
      </w:pPr>
      <w:r>
        <w:rPr/>
      </w:r>
    </w:p>
    <w:p>
      <w:pPr>
        <w:pStyle w:val="Normal"/>
        <w:ind w:firstLine="5040" w:end="0"/>
        <w:rPr/>
      </w:pPr>
      <w:r>
        <w:rPr/>
        <w:t xml:space="preserve">711 Van Ness Ave., Suite 350 </w:t>
      </w:r>
    </w:p>
    <w:p>
      <w:pPr>
        <w:pStyle w:val="Normal"/>
        <w:ind w:firstLine="5040" w:end="0"/>
        <w:rPr/>
      </w:pPr>
      <w:r>
        <w:rPr/>
        <w:t>San Francisco, CA  94102</w:t>
      </w:r>
    </w:p>
    <w:p>
      <w:pPr>
        <w:pStyle w:val="Normal"/>
        <w:ind w:firstLine="5040" w:end="0"/>
        <w:rPr/>
      </w:pPr>
      <w:r>
        <w:rPr/>
        <w:t>(415) 929-8879, x. 302 (Phone)</w:t>
      </w:r>
    </w:p>
    <w:p>
      <w:pPr>
        <w:pStyle w:val="Normal"/>
        <w:ind w:firstLine="5040" w:end="0"/>
        <w:rPr/>
      </w:pPr>
      <w:r>
        <w:rPr/>
        <w:t>(415) 929-1132 (Fax)</w:t>
      </w:r>
    </w:p>
    <w:p>
      <w:pPr>
        <w:pStyle w:val="Normal"/>
        <w:rPr/>
      </w:pPr>
      <w:r>
        <w:rPr/>
      </w:r>
    </w:p>
    <w:p>
      <w:pPr>
        <w:pStyle w:val="Normal"/>
        <w:ind w:firstLine="5040" w:end="0"/>
        <w:rPr/>
      </w:pPr>
      <w:r>
        <w:rPr/>
        <w:t>Michel Peter Florio</w:t>
      </w:r>
    </w:p>
    <w:p>
      <w:pPr>
        <w:pStyle w:val="Normal"/>
        <w:ind w:firstLine="5040" w:end="0"/>
        <w:rPr/>
      </w:pPr>
      <w:r>
        <w:rPr/>
        <w:t>Senior Attorney</w:t>
      </w:r>
    </w:p>
    <w:p>
      <w:pPr>
        <w:pStyle w:val="Normal"/>
        <w:ind w:firstLine="5040" w:end="0"/>
        <w:rPr/>
      </w:pPr>
      <w:r>
        <w:rPr/>
      </w:r>
    </w:p>
    <w:p>
      <w:pPr>
        <w:pStyle w:val="Normal"/>
        <w:ind w:firstLine="5040" w:end="0"/>
        <w:rPr/>
      </w:pPr>
      <w:r>
        <w:rPr/>
        <w:t>Robert Finkelstein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Supervising Attorney</w:t>
      </w:r>
    </w:p>
    <w:p>
      <w:pPr>
        <w:pStyle w:val="Heading"/>
        <w:rPr>
          <w:b w:val="false"/>
        </w:rPr>
      </w:pPr>
      <w:r>
        <w:rPr/>
        <w:t>COMMENTS OF TURN IN RESPONSE TO ASSIGNED COMMISSIONER'S RULING</w:t>
      </w:r>
    </w:p>
    <w:p>
      <w:pPr>
        <w:pStyle w:val="Pleading"/>
        <w:rPr>
          <w:b/>
        </w:rPr>
      </w:pPr>
      <w:r>
        <w:rPr>
          <w:b/>
        </w:rPr>
      </w:r>
    </w:p>
    <w:p>
      <w:pPr>
        <w:pStyle w:val="Pleading"/>
        <w:spacing w:lineRule="auto" w:line="480" w:before="0" w:after="120"/>
        <w:ind w:firstLine="720" w:end="0"/>
        <w:rPr/>
      </w:pPr>
      <w:r>
        <w:rPr/>
        <w:t xml:space="preserve">On October 23, 2001, Commissioner Carl Wood issued an extremely timely Assigned Commissioner's Ruling (ACR) soliciting comments from the parties regarding certain direct access issues not resolved by the Commission in its recent interim order, Decision No. (D.) 01-09-060, dated September 20, 2001, in these dockets.  The Utility Reform Network (TURN) is grateful to Commissioner Wood for providing us with the opportunity to address these critical issues of ratepayer (in)equity, and urges this Commission to take urgent action to redress the situation.  </w:t>
      </w:r>
    </w:p>
    <w:p>
      <w:pPr>
        <w:pStyle w:val="Pleading"/>
        <w:spacing w:lineRule="auto" w:line="480" w:before="0" w:after="120"/>
        <w:ind w:firstLine="720" w:end="0"/>
        <w:rPr/>
      </w:pPr>
      <w:r>
        <w:rPr/>
        <w:t>Exactly as TURN predicted in our September 4, 2001 Comments on the Revised Draft Decision of ALJ Barnett, California experienced a "</w:t>
      </w:r>
      <w:r>
        <w:rPr>
          <w:b/>
        </w:rPr>
        <w:t>gold rush</w:t>
      </w:r>
      <w:r>
        <w:rPr/>
        <w:t>" to direct access during the period in which this Commission was considering the suspension of the direct access program pursuant to the requirements of Water Code Section 80110, as adopted in ABX1-1.  While conflicting figures have been reported, somewhere between 8% and 14% of the total load</w:t>
      </w:r>
      <w:r>
        <w:rPr>
          <w:rStyle w:val="FootnoteCharacters"/>
          <w:rStyle w:val="FootnoteReference"/>
          <w:b/>
        </w:rPr>
        <w:footnoteReference w:id="2"/>
      </w:r>
      <w:r>
        <w:rPr/>
        <w:t xml:space="preserve"> of the big three electric utilities has sought to depart from bundled service in order to take exclusive advantage of the lower prices now available in the spot and term contract markets, up from a mere 2% on June 30 of this year.  Unless this Commission acts to correct this problem, </w:t>
      </w:r>
      <w:r>
        <w:rPr>
          <w:b/>
        </w:rPr>
        <w:t>those customers</w:t>
      </w:r>
      <w:r>
        <w:rPr/>
        <w:t xml:space="preserve">, most of whom are large industrial users with peak demands in excess of 500 kw and virtually all of whom are commercial or industrial customers with over 20 kw of peak demand, </w:t>
      </w:r>
      <w:r>
        <w:rPr>
          <w:b/>
        </w:rPr>
        <w:t>will escape from the cost burdens that have been incurred on behalf of all ratepayers over the last year</w:t>
      </w:r>
      <w:r>
        <w:rPr/>
        <w:t xml:space="preserve">, leaving smaller customers to pick up an even higher tab.  Such cost shifting is simply unfair, and must not be countenanced by this Commission.  But </w:t>
      </w:r>
      <w:r>
        <w:rPr>
          <w:b/>
        </w:rPr>
        <w:t>such cost shifting is now the status quo</w:t>
      </w:r>
      <w:r>
        <w:rPr/>
        <w:t>, and it will continue unless and until the Commission acts to stop it.</w:t>
      </w:r>
    </w:p>
    <w:p>
      <w:pPr>
        <w:pStyle w:val="Pleading"/>
        <w:spacing w:lineRule="auto" w:line="480" w:before="0" w:after="120"/>
        <w:ind w:firstLine="720" w:end="0"/>
        <w:rPr/>
      </w:pPr>
      <w:r>
        <w:rPr/>
        <w:t xml:space="preserve">TURN urges this Commission to </w:t>
      </w:r>
      <w:r>
        <w:rPr>
          <w:b/>
        </w:rPr>
        <w:t>immediately suspend direct access</w:t>
      </w:r>
      <w:r>
        <w:rPr/>
        <w:t xml:space="preserve"> for all customer facilities </w:t>
      </w:r>
      <w:r>
        <w:rPr>
          <w:b/>
        </w:rPr>
        <w:t>except</w:t>
      </w:r>
      <w:r>
        <w:rPr/>
        <w:t xml:space="preserve"> for those that were actually being served via direct access at the beginning of July of this year.  Customers who stuck with direct access through the first half of the year did not contribute to the DWR undercollections that must now be financed, and did not create the need for DWR to go out and contract for large amounts of power.  But those customers represent only 2% of the total load!  The balance of the customers who have switched to direct access since July 1 </w:t>
      </w:r>
      <w:r>
        <w:rPr>
          <w:i/>
        </w:rPr>
        <w:t>did</w:t>
      </w:r>
      <w:r>
        <w:rPr/>
        <w:t xml:space="preserve"> contribute to the DWR undercollection and formed part of the customer base for which DWR was responsible for contracting.  Now that the market has turned around and direct access is once again economically attractive, these customers seek to capture the benefits and escape the burdens.  While that is certainly rational economic behavior from the customer's individual point of view, it is clearly inequitable and should not be permitted by a body such as this Commission that is responsible for protecting the broader public interest.  </w:t>
      </w:r>
    </w:p>
    <w:p>
      <w:pPr>
        <w:pStyle w:val="Pleading"/>
        <w:spacing w:lineRule="auto" w:line="480" w:before="0" w:after="120"/>
        <w:ind w:firstLine="720" w:end="0"/>
        <w:rPr/>
      </w:pPr>
      <w:r>
        <w:rPr/>
        <w:t xml:space="preserve">Some parties will likely argue that customer switching to direct access is a good thing, because it reduces the amount of power that the State (DWR) must purchase.  Earlier this year, that argument was probably correct, as direct access would have reduced the amount of expensive spot power that DWR was forced to purchase.  But at that point in time virtually no one </w:t>
      </w:r>
      <w:r>
        <w:rPr>
          <w:b/>
        </w:rPr>
        <w:t xml:space="preserve">wanted </w:t>
      </w:r>
      <w:r>
        <w:rPr/>
        <w:t>to go out on their own in the dysfunctional wholesale electric market.  Then, in mid to late June, the power market turned around dramatically.  Now both spot and term contract power can be readily obtained at prices well below the DWR average portfolio cost.  Thus,</w:t>
      </w:r>
      <w:r>
        <w:rPr>
          <w:b/>
        </w:rPr>
        <w:t xml:space="preserve"> under today's circumstances, more DWR customer load is better for bundled service customers</w:t>
      </w:r>
      <w:r>
        <w:rPr/>
        <w:t xml:space="preserve">, because greater amounts of inexpensive spot power can be used to lower the average portfolio cost or, at minimum, forced sales of excess DWR contract power at a loss can be minimized.  </w:t>
      </w:r>
    </w:p>
    <w:p>
      <w:pPr>
        <w:pStyle w:val="Pleading"/>
        <w:spacing w:lineRule="auto" w:line="480" w:before="0" w:after="120"/>
        <w:ind w:firstLine="720" w:end="0"/>
        <w:rPr/>
      </w:pPr>
      <w:r>
        <w:rPr/>
        <w:t xml:space="preserve">This Commission is also likely to be confronted with arguments that suspension of direct access for customers with already existing contracts would be unconstitutional under the Contracts Clause of the U.S. Constitution.  This argument is simple hogwash and nothing more than a scare tactic because, as will be further explained below, the Contracts Clause certainly does not remove a state's power to regulate in the public interest.  </w:t>
      </w:r>
    </w:p>
    <w:p>
      <w:pPr>
        <w:pStyle w:val="Pleading"/>
        <w:spacing w:lineRule="auto" w:line="480" w:before="0" w:after="120"/>
        <w:ind w:firstLine="720" w:end="0"/>
        <w:rPr/>
      </w:pPr>
      <w:r>
        <w:rPr/>
        <w:t>We now turn to the specific questions posed by the ACR.</w:t>
      </w:r>
    </w:p>
    <w:p>
      <w:pPr>
        <w:pStyle w:val="Pleading"/>
        <w:rPr>
          <w:b/>
          <w:u w:val="single"/>
        </w:rPr>
      </w:pPr>
      <w:r>
        <w:rPr>
          <w:b/>
          <w:u w:val="single"/>
        </w:rPr>
        <w:t>1.  Why should or shouldn't the Commission choose an earlier date (than after September 20, 2001) for suspending the right to acquire direct access service?</w:t>
      </w:r>
    </w:p>
    <w:p>
      <w:pPr>
        <w:pStyle w:val="Pleading"/>
        <w:rPr>
          <w:b/>
          <w:u w:val="single"/>
        </w:rPr>
      </w:pPr>
      <w:r>
        <w:rPr>
          <w:b/>
          <w:u w:val="single"/>
        </w:rPr>
      </w:r>
    </w:p>
    <w:p>
      <w:pPr>
        <w:pStyle w:val="Pleading"/>
        <w:rPr>
          <w:b/>
          <w:u w:val="single"/>
        </w:rPr>
      </w:pPr>
      <w:r>
        <w:rPr>
          <w:b/>
          <w:u w:val="single"/>
        </w:rPr>
        <w:t>2.  If the Commission should choose an earlier date, why should or shouldn't the Commission consider the July 1, 2001 suspension as set forth in the June 15 and August 27 Draft Decisions of ALJ Barnett?  If not July 1, 2001, what other date or dates should the Commission consider and why?</w:t>
      </w:r>
    </w:p>
    <w:p>
      <w:pPr>
        <w:pStyle w:val="Pleading"/>
        <w:rPr>
          <w:b/>
          <w:u w:val="single"/>
        </w:rPr>
      </w:pPr>
      <w:r>
        <w:rPr>
          <w:b/>
          <w:u w:val="single"/>
        </w:rPr>
      </w:r>
    </w:p>
    <w:p>
      <w:pPr>
        <w:pStyle w:val="Pleading"/>
        <w:spacing w:lineRule="auto" w:line="480" w:before="0" w:after="120"/>
        <w:ind w:firstLine="720" w:end="0"/>
        <w:rPr/>
      </w:pPr>
      <w:r>
        <w:rPr/>
        <w:t xml:space="preserve">The Commission should adopt the July 1, 2001 cutoff date originally proposed by ALJ Barnett back in June, because that date reasonably approximates the point at which customer switching to direct access ceased to be of benefit to the general body of bundled service customers.  As explained above, before that time a customer's switching to direct access would have benefited other ratepayers by allowing DWR to reduce expensive spot market purchases.  After about July 1, loss of bundled customer load to direct access began to have a negative impact on other ratepayers because of the dramatic drop in the market price of power, to a level below the average portfolio cost.  </w:t>
      </w:r>
    </w:p>
    <w:p>
      <w:pPr>
        <w:pStyle w:val="Pleading"/>
        <w:spacing w:lineRule="auto" w:line="480" w:before="0" w:after="120"/>
        <w:ind w:firstLine="720" w:end="0"/>
        <w:rPr/>
      </w:pPr>
      <w:r>
        <w:rPr/>
        <w:t>It is important to be clear about what we mean by a July 1 cutoff date.  TURN does not in any way advocate going back and trying to undo direct access purchases and sales that have already gone to delivery.  That would surely be an administrative nightmare.  Rather, the issue is better characterized as whether to "</w:t>
      </w:r>
      <w:r>
        <w:rPr>
          <w:b/>
        </w:rPr>
        <w:t>grandfather</w:t>
      </w:r>
      <w:r>
        <w:rPr/>
        <w:t xml:space="preserve">" certain existing direct access contracts, </w:t>
      </w:r>
      <w:r>
        <w:rPr>
          <w:u w:val="single"/>
        </w:rPr>
        <w:t>i</w:t>
      </w:r>
      <w:r>
        <w:rPr/>
        <w:t>.</w:t>
      </w:r>
      <w:r>
        <w:rPr>
          <w:u w:val="single"/>
        </w:rPr>
        <w:t>e</w:t>
      </w:r>
      <w:r>
        <w:rPr/>
        <w:t xml:space="preserve">. exempt them from the general suspension of the program.  Direct access arrangements that were already in place on July 1 should be grandfathered and allowed to continue in force.  All arrangements entered into subsequently should be suspended, effective immediately upon the date of the Commission's decision.  And any grandfathered contracts should be limited to the specific locations at which direct access service was being provided prior to July 1, 2001.  </w:t>
      </w:r>
    </w:p>
    <w:p>
      <w:pPr>
        <w:pStyle w:val="Pleading"/>
        <w:rPr>
          <w:b/>
          <w:u w:val="single"/>
        </w:rPr>
      </w:pPr>
      <w:r>
        <w:rPr>
          <w:b/>
          <w:u w:val="single"/>
        </w:rPr>
        <w:t>3.  Are there alternatives to suspending direct access as of a date before September 20, 2001, that would still alleviate cost-shifting problems?  What are the pros and cons of these alternatives?  Can the Commission adopt any such proposed alternative without new legislation?</w:t>
      </w:r>
    </w:p>
    <w:p>
      <w:pPr>
        <w:pStyle w:val="Pleading"/>
        <w:rPr>
          <w:b/>
          <w:u w:val="single"/>
        </w:rPr>
      </w:pPr>
      <w:r>
        <w:rPr>
          <w:b/>
          <w:u w:val="single"/>
        </w:rPr>
      </w:r>
    </w:p>
    <w:p>
      <w:pPr>
        <w:pStyle w:val="Pleading"/>
        <w:spacing w:lineRule="auto" w:line="480" w:before="0" w:after="120"/>
        <w:ind w:firstLine="720" w:end="0"/>
        <w:rPr/>
      </w:pPr>
      <w:r>
        <w:rPr/>
        <w:t xml:space="preserve">TURN submits that while there could </w:t>
      </w:r>
      <w:r>
        <w:rPr>
          <w:i/>
        </w:rPr>
        <w:t>theoretically</w:t>
      </w:r>
      <w:r>
        <w:rPr/>
        <w:t xml:space="preserve"> be alternative means of alleviating the cost-shifting problems caused by direct access in the current environment, those issues are properly for the Legislature to consider.  As the law now stands, this Commission is directed to suspend direct access-- period.  Thus, the consideration of alternatives must be undertaken by the Legislature, which adopted Section 80110 of the Water Code in the first place.  </w:t>
      </w:r>
    </w:p>
    <w:p>
      <w:pPr>
        <w:pStyle w:val="Pleading"/>
        <w:spacing w:lineRule="auto" w:line="480" w:before="0" w:after="120"/>
        <w:ind w:firstLine="720" w:end="0"/>
        <w:rPr/>
      </w:pPr>
      <w:r>
        <w:rPr/>
        <w:t xml:space="preserve">Theoretically speaking, it is at least conceivable that a system of exit fees or non-bypassable charges could be developed that would prevent cost shifting.  It would be no simple task, however.  There could easily be as many as three different categories of costs that would have to be recovered under such mechanisms-- 1) past DWR power purchase costs and related financing costs, 2) future DWR contract costs that would become stranded if customers switch to direct access after the contracts have already been signed, and 3) possible future recovery of past utility undercollections, if lawfully imposed.  </w:t>
      </w:r>
    </w:p>
    <w:p>
      <w:pPr>
        <w:pStyle w:val="Pleading"/>
        <w:spacing w:lineRule="auto" w:line="480" w:before="0" w:after="120"/>
        <w:ind w:firstLine="720" w:end="0"/>
        <w:rPr/>
      </w:pPr>
      <w:r>
        <w:rPr/>
        <w:t xml:space="preserve">There should not be any reasonable dispute over the first category-- these costs reflect the "credit card debt" run up by ratepayers collectively during the early months of 2001, when DWR's power costs were very high and far above the amount recovered in retail rates.  Only customers who were served by direct access throughout the period could reasonably claim a right to be exempted from paying for these costs.  Quantification could be relatively easy if SBX2-18 were to be signed into law.  Otherwise, the calculations could easily become quite complex.  </w:t>
      </w:r>
    </w:p>
    <w:p>
      <w:pPr>
        <w:pStyle w:val="Pleading"/>
        <w:spacing w:lineRule="auto" w:line="480" w:before="0" w:after="120"/>
        <w:ind w:firstLine="720" w:end="0"/>
        <w:rPr/>
      </w:pPr>
      <w:r>
        <w:rPr/>
        <w:t xml:space="preserve">Future stranded DWR contract costs clearly raise more complicated and contentious issues.  Some parties have argued that so long as there is </w:t>
      </w:r>
      <w:r>
        <w:rPr>
          <w:i/>
        </w:rPr>
        <w:t>any</w:t>
      </w:r>
      <w:r>
        <w:rPr/>
        <w:t xml:space="preserve"> residual net short in the DWR portfolio that is not covered by term contracts, individual customers should be able to leave the portfolio with incurring any costs.  TURN </w:t>
      </w:r>
      <w:r>
        <w:rPr>
          <w:b/>
        </w:rPr>
        <w:t>strongly</w:t>
      </w:r>
      <w:r>
        <w:rPr/>
        <w:t xml:space="preserve"> disagrees.  This concept is premised on the notion that individual customers can lay claim to the portfolio's residual net short position.  But the net short logically "belongs to" ALL of the customers in the portfolio, not just the ones who want to leave.  If less expensive short-term supplies are available in the market, there is no reason why a small group of customers should be able to capture that entire advantage for themselves, to the detriment of the larger group.  Rather, the less expensive power should be used to lower the average cost for ALL customers.  </w:t>
      </w:r>
    </w:p>
    <w:p>
      <w:pPr>
        <w:pStyle w:val="Pleading"/>
        <w:spacing w:lineRule="auto" w:line="480" w:before="0" w:after="120"/>
        <w:ind w:firstLine="720" w:end="0"/>
        <w:rPr/>
      </w:pPr>
      <w:r>
        <w:rPr/>
        <w:t xml:space="preserve">From TURN's perspective, the proper way to view the DWR portfolio is that each customer for whom DWR has purchased power should be responsible for a proportionate share of the cost of </w:t>
      </w:r>
      <w:r>
        <w:rPr>
          <w:i/>
        </w:rPr>
        <w:t>each contract</w:t>
      </w:r>
      <w:r>
        <w:rPr/>
        <w:t xml:space="preserve"> in that portfolio.  </w:t>
      </w:r>
      <w:r>
        <w:rPr>
          <w:rStyle w:val="Emphasis"/>
          <w:i w:val="false"/>
        </w:rPr>
        <w:t>Thus, any customer electing to switch to direct access should pay a nonbypassable charge equal to the customer's proportionate share of DWR's net unavoidable cost of power for the period beginning when the customer leaves and continuing through the expiration of all then-existing contracts for power entered into by the Department.  In determining "proportionate share" each DWR contract should be treated as having been entered into on behalf of all customers who took bundled service at any time during the period after January 17, 2001.  In determining "net unavoidable cost," it would be necessary to estimate the excess of the average cost of power for the entire portfolio of DWR contracts over the cost of new contracts of similar duration available in the market at the time the customer leaves.  Clearly these will not be simple matters to implement.</w:t>
      </w:r>
      <w:r>
        <w:rPr/>
        <w:t xml:space="preserve"> </w:t>
      </w:r>
    </w:p>
    <w:p>
      <w:pPr>
        <w:pStyle w:val="Pleading"/>
        <w:spacing w:lineRule="auto" w:line="480" w:before="0" w:after="120"/>
        <w:ind w:firstLine="720" w:end="0"/>
        <w:rPr/>
      </w:pPr>
      <w:r>
        <w:rPr>
          <w:rStyle w:val="Emphasis"/>
          <w:i w:val="false"/>
        </w:rPr>
        <w:t xml:space="preserve">During the recently-ended legislative session, there was extensive debate over the possible terms and conditions under which direct access might be restored.  In the end, no such legislation was enacted.  This Commission should not attempt to usurp the role of the Legislature by devising a scheme to restore direct access w hen current law simply says that the program should be suspended.  </w:t>
      </w:r>
    </w:p>
    <w:p>
      <w:pPr>
        <w:pStyle w:val="Pleading"/>
        <w:rPr/>
      </w:pPr>
      <w:r>
        <w:rPr>
          <w:rStyle w:val="Emphasis"/>
          <w:b/>
          <w:i w:val="false"/>
          <w:u w:val="single"/>
        </w:rPr>
        <w:t>4.  What effect, if any, should be given to renewals of contracts originally entered into prior to the effective date of the Commission's suspension of direct access?</w:t>
      </w:r>
    </w:p>
    <w:p>
      <w:pPr>
        <w:pStyle w:val="Pleading"/>
        <w:rPr>
          <w:rStyle w:val="Emphasis"/>
          <w:b/>
          <w:i w:val="false"/>
          <w:i w:val="false"/>
          <w:u w:val="single"/>
        </w:rPr>
      </w:pPr>
      <w:r>
        <w:rPr/>
      </w:r>
    </w:p>
    <w:p>
      <w:pPr>
        <w:pStyle w:val="Pleading"/>
        <w:spacing w:lineRule="auto" w:line="480" w:before="0" w:after="120"/>
        <w:ind w:firstLine="720" w:end="0"/>
        <w:rPr/>
      </w:pPr>
      <w:r>
        <w:rPr>
          <w:rStyle w:val="Emphasis"/>
          <w:i w:val="false"/>
        </w:rPr>
        <w:t xml:space="preserve">If the grandfathering of direct access contracts were limited to those already in effect on July 1, TURN would not object to allowing those customers to continue to renew their direct access contracts.  Only 2% of the load would be affected, and the only customers involved would be those who took direct access service before it became overwhelmingly attractive to do so.  If the Commission, contrary to our recommendation, declines to suspend contracts entered into after July, TURN would strongly oppose allowing renewal of  these contracts. This would merely compound the inequity of allowing these customers to leave the system in the first place.  </w:t>
      </w:r>
    </w:p>
    <w:p>
      <w:pPr>
        <w:pStyle w:val="Pleading"/>
        <w:rPr/>
      </w:pPr>
      <w:r>
        <w:rPr>
          <w:rStyle w:val="Emphasis"/>
          <w:b/>
          <w:i w:val="false"/>
          <w:u w:val="single"/>
        </w:rPr>
        <w:t>5.  What effect, if any, should be given to provisions in contracts ("add-on provisions") that allow the buyer to add more facilities to be served after the date on which direct access is suspended?</w:t>
      </w:r>
    </w:p>
    <w:p>
      <w:pPr>
        <w:pStyle w:val="Pleading"/>
        <w:rPr>
          <w:rStyle w:val="Emphasis"/>
          <w:b/>
          <w:i w:val="false"/>
          <w:i w:val="false"/>
          <w:u w:val="single"/>
        </w:rPr>
      </w:pPr>
      <w:r>
        <w:rPr/>
      </w:r>
    </w:p>
    <w:p>
      <w:pPr>
        <w:pStyle w:val="Pleading"/>
        <w:spacing w:lineRule="auto" w:line="480" w:before="0" w:after="120"/>
        <w:ind w:firstLine="720" w:end="0"/>
        <w:rPr/>
      </w:pPr>
      <w:r>
        <w:rPr>
          <w:rStyle w:val="Emphasis"/>
          <w:i w:val="false"/>
        </w:rPr>
        <w:t>TURN would oppose giving any consideration to so-called add-on provisions.  Any grandfathering of direct access should be strictly limited to the specific facilities that were actually taking direct access service on July 1.  Except for those specific facilities, direct access should be suspended, as required by law.  Any other outcome would simply exacerbate the cost shifting problems that the delay of the suspension has already created.</w:t>
      </w:r>
    </w:p>
    <w:p>
      <w:pPr>
        <w:pStyle w:val="Pleading"/>
        <w:rPr/>
      </w:pPr>
      <w:r>
        <w:rPr>
          <w:rStyle w:val="Emphasis"/>
          <w:b/>
          <w:i w:val="false"/>
          <w:u w:val="single"/>
        </w:rPr>
        <w:t>6.  Are there any other types of contract provisions that the Commission should consider in terms of applying the suspension as set forth in D.01-09-060 or the Commission's consideration of an early suspension date?</w:t>
      </w:r>
    </w:p>
    <w:p>
      <w:pPr>
        <w:pStyle w:val="Pleading"/>
        <w:rPr>
          <w:rStyle w:val="Emphasis"/>
          <w:b/>
          <w:i w:val="false"/>
          <w:i w:val="false"/>
          <w:u w:val="single"/>
        </w:rPr>
      </w:pPr>
      <w:r>
        <w:rPr/>
      </w:r>
    </w:p>
    <w:p>
      <w:pPr>
        <w:pStyle w:val="Pleading"/>
        <w:spacing w:lineRule="auto" w:line="480" w:before="0" w:after="240"/>
        <w:rPr/>
      </w:pPr>
      <w:r>
        <w:rPr>
          <w:rStyle w:val="Emphasis"/>
          <w:i w:val="false"/>
        </w:rPr>
        <w:tab/>
        <w:t xml:space="preserve">TURN submits that it would be a mistake for the Commission to get caught up in dealing with particular contract terms of direct access agreements.  Rather, the focus should be on the particular customer facility, and the only question that needs to be asked is:  Was this facility taking direct access on July 1.  If the answer is yes, that facility can be grandfathered.  If no, then the direct access suspension should apply.  Any other approach will result in the Commission's becoming mired in endless detail and controversy.  </w:t>
      </w:r>
    </w:p>
    <w:p>
      <w:pPr>
        <w:pStyle w:val="Pleading"/>
        <w:spacing w:lineRule="auto" w:line="480" w:before="0" w:after="120"/>
        <w:jc w:val="center"/>
        <w:rPr/>
      </w:pPr>
      <w:r>
        <w:rPr>
          <w:rStyle w:val="Emphasis"/>
          <w:b/>
          <w:i w:val="false"/>
          <w:u w:val="single"/>
        </w:rPr>
        <w:t>THE CONTRACT CLAUSE ARGUMENT IS A COMPLETE RED HERRING</w:t>
      </w:r>
    </w:p>
    <w:p>
      <w:pPr>
        <w:pStyle w:val="Pleading"/>
        <w:spacing w:lineRule="auto" w:line="480" w:before="0" w:after="120"/>
        <w:ind w:firstLine="720" w:end="0"/>
        <w:rPr/>
      </w:pPr>
      <w:r>
        <w:rPr/>
        <w:t xml:space="preserve">TURN is aware that certain parties have loudly proclaimed their intention to bring suit under the Contract Clause of the U.S. Constititution (Article I, Section 10) if this Commission acts to suspend direct access retroactive to July 1, 2001.  Such assertions either reflect simple posturing or else betray a woeful misunderstanding of this aspect of constitutional law.  This Commission unquestionably possesses the authority to suspend direct access for customers that entered into such arrangements subsequent to July 1, without in any way interfering with those parties’ constitutional rights.  The Contract Clause simply does not bar a state from taking actions otherwise within its legislative and regulatory power that may happen to impact private contracts.  As the United States Supreme Court stated in </w:t>
      </w:r>
      <w:r>
        <w:rPr>
          <w:u w:val="single"/>
        </w:rPr>
        <w:t>El Paso v. Simmons</w:t>
      </w:r>
      <w:r>
        <w:rPr/>
        <w:t>, 379 U.S. 497 (1965):</w:t>
      </w:r>
    </w:p>
    <w:p>
      <w:pPr>
        <w:pStyle w:val="Normal"/>
        <w:tabs>
          <w:tab w:val="clear" w:pos="720"/>
          <w:tab w:val="left" w:pos="7920" w:leader="none"/>
        </w:tabs>
        <w:ind w:start="720" w:end="720"/>
        <w:rPr/>
      </w:pPr>
      <w:r>
        <w:rPr/>
        <w:t xml:space="preserve">     </w:t>
      </w:r>
      <w:r>
        <w:rPr/>
        <w:t xml:space="preserve">The decisions "put it beyond question that the prohibition [of the Contract Clause] is not an absolute one and is not to be read with literal exactness like a mathematical formula," as Chief Justice Hughes said in Home Building &amp; Loan Assn. v. Blaisdell, 290 U.S. 398, 428.  The Blaisdell opinion, which amounted to a comprehensive restatement of the principles underlying the application of the Contract Clause, makes it quite clear that "[n]ot only is the constitutional provision qualified by the measure of control which the State retains over remedial processes, but </w:t>
      </w:r>
      <w:r>
        <w:rPr>
          <w:b/>
        </w:rPr>
        <w:t>the State also continues to possess authority to safeguard the vital interests of its people.  It does not matter that legislation appropriate to that end 'has the result of modifying or abrogating contracts already in effect.'</w:t>
      </w:r>
      <w:r>
        <w:rPr/>
        <w:t xml:space="preserve"> Stephenson v. Binford, 287 U.S. 251, 276.  Not only are existing laws read into contracts in order to fix obligations as between the parties, but </w:t>
      </w:r>
      <w:r>
        <w:rPr>
          <w:b/>
        </w:rPr>
        <w:t>the reservation of essential attributes of sovereign power is also read into contracts as a postulate of the legal order</w:t>
      </w:r>
      <w:r>
        <w:rPr/>
        <w:t xml:space="preserve">. . . . This principle of harmonizing the constitutional prohibition with the necessary residuum of state power has had progressive recognition in the decisions of this Court." 290 U.S., at 434 -435.  Moreover, the "economic interests of the State may justify the exercise of its continuing and dominant protective power notwithstanding interference with contracts." Id., at 437.  The State has the "sovereign right . . . to protect the . . . general welfare of the people . . . . Once we are in this domain of the reserve power of a State we must respect the 'wide discretion on the part of the legislature in determining what is and what is not necessary.'" East New York Savings Bank v. Hahn, 326 U.S. 230, 232 -233.  As Mr. Justice Johnson said in Ogden v. Saunders, "[i]t is the motive, the policy, the object, that must characterize the legislative act, to affect it with the imputation of violating the obligation of contracts." 12 Wheat. 213, 291. </w:t>
      </w:r>
    </w:p>
    <w:p>
      <w:pPr>
        <w:pStyle w:val="Normal"/>
        <w:tabs>
          <w:tab w:val="clear" w:pos="720"/>
          <w:tab w:val="left" w:pos="7920" w:leader="none"/>
        </w:tabs>
        <w:rPr/>
      </w:pPr>
      <w:r>
        <w:rPr/>
      </w:r>
    </w:p>
    <w:p>
      <w:pPr>
        <w:pStyle w:val="Normal"/>
        <w:tabs>
          <w:tab w:val="clear" w:pos="720"/>
          <w:tab w:val="left" w:pos="7920" w:leader="none"/>
        </w:tabs>
        <w:rPr/>
      </w:pPr>
      <w:r>
        <w:rPr/>
      </w:r>
    </w:p>
    <w:p>
      <w:pPr>
        <w:pStyle w:val="Pleading"/>
        <w:spacing w:lineRule="auto" w:line="480" w:before="0" w:after="120"/>
        <w:rPr/>
      </w:pPr>
      <w:r>
        <w:rPr/>
        <w:tab/>
        <w:t xml:space="preserve">If the Contract Clause really meant that states could not enact any legislation that would have the effect of disrupting a private contract, the sovereign power of the State would be completely decimated.  For example, the State could not enact legislation banning the sale of assault weapons if there were outstanding contracts in place that provided for such sales.  The State could not act to outlaw a new "designer drug" if parties had contracts for the production and delivery of such products.  Obviously this is not what the Constitution says.  Indeed, ever since the landmark </w:t>
      </w:r>
      <w:r>
        <w:rPr>
          <w:u w:val="single"/>
        </w:rPr>
        <w:t>Blaisdell</w:t>
      </w:r>
      <w:r>
        <w:rPr/>
        <w:t xml:space="preserve"> decision, it has been recognized that the states can take a wide variety of actions that impinge upon the provisions of private contracts far more directly than the suspension of California's direct access program.  </w:t>
      </w:r>
      <w:r>
        <w:rPr>
          <w:i/>
        </w:rPr>
        <w:t>Any</w:t>
      </w:r>
      <w:r>
        <w:rPr/>
        <w:t xml:space="preserve"> provision for the grandfathering of existing contracts is a policy issue, not a constitutional one.  If this were not the case, there would be no need for the relatively common </w:t>
      </w:r>
      <w:r>
        <w:rPr>
          <w:i/>
        </w:rPr>
        <w:t>force majeure</w:t>
      </w:r>
      <w:r>
        <w:rPr/>
        <w:t xml:space="preserve"> clauses in commercial contracts that provide for the allocation of risk in the event of supervening government action.</w:t>
      </w:r>
    </w:p>
    <w:p>
      <w:pPr>
        <w:pStyle w:val="Pleading"/>
        <w:spacing w:lineRule="auto" w:line="480" w:before="0" w:after="120"/>
        <w:ind w:firstLine="720" w:end="0"/>
        <w:rPr/>
      </w:pPr>
      <w:r>
        <w:rPr/>
        <w:t xml:space="preserve">Even if there were otherwise some theoretical basis for a Contract Clause claim, the enactment of ABX1-1 would clearly serve to estop any party from arguing that direct access contracts entered into after February 1, 2001 are protected from suspension.  The statute could not have been clearer that direct access was to be suspended, and merely left to the Commission’s discretion the timing of such suspension.  Thus it would seem clear beyond cavil that any party entering into a direct access contract after the date of the statute's enactment must be presumed to have done so fully aware of the risk that the contract would be rendered void by a subsequent suspension.  In sum, the Contract Clause argument is completely without substance, and it would be dismissed out of hand by a court if such an action were ever filed.  </w:t>
      </w:r>
    </w:p>
    <w:p>
      <w:pPr>
        <w:pStyle w:val="Pleading"/>
        <w:spacing w:lineRule="auto" w:line="480" w:before="0" w:after="120"/>
        <w:rPr/>
      </w:pPr>
      <w:r>
        <w:rPr>
          <w:rStyle w:val="Emphasis"/>
          <w:i w:val="false"/>
        </w:rPr>
        <w:tab/>
        <w:t xml:space="preserve">For all of the above reasons, TURN urges this Commission to expand its interim order and suspend direct access under </w:t>
      </w:r>
      <w:r>
        <w:rPr>
          <w:rStyle w:val="Emphasis"/>
          <w:b/>
          <w:i w:val="false"/>
        </w:rPr>
        <w:t>all</w:t>
      </w:r>
      <w:r>
        <w:rPr>
          <w:rStyle w:val="Emphasis"/>
          <w:i w:val="false"/>
        </w:rPr>
        <w:t xml:space="preserve"> contracts </w:t>
      </w:r>
      <w:r>
        <w:rPr>
          <w:rStyle w:val="Emphasis"/>
          <w:b/>
          <w:i w:val="false"/>
        </w:rPr>
        <w:t>except</w:t>
      </w:r>
      <w:r>
        <w:rPr>
          <w:rStyle w:val="Emphasis"/>
          <w:i w:val="false"/>
        </w:rPr>
        <w:t xml:space="preserve"> for those under which deliveries were actually being made to specific facilities on the July 1 cutoff date.</w:t>
      </w:r>
    </w:p>
    <w:p>
      <w:pPr>
        <w:pStyle w:val="Pleading"/>
        <w:rPr>
          <w:rStyle w:val="Emphasis"/>
          <w:i w:val="false"/>
          <w:i w:val="false"/>
        </w:rPr>
      </w:pPr>
      <w:r>
        <w:rPr/>
      </w:r>
    </w:p>
    <w:p>
      <w:pPr>
        <w:pStyle w:val="Normal"/>
        <w:spacing w:lineRule="auto" w:line="480"/>
        <w:rPr/>
      </w:pPr>
      <w:r>
        <w:rPr/>
        <w:t>Date: November 2, 2001</w:t>
        <w:tab/>
        <w:tab/>
        <w:tab/>
        <w:t>Respectfully submitted,</w:t>
      </w:r>
    </w:p>
    <w:p>
      <w:pPr>
        <w:pStyle w:val="Normal"/>
        <w:spacing w:lineRule="auto" w:line="480"/>
        <w:ind w:firstLine="4320" w:end="0"/>
        <w:rPr>
          <w:b/>
        </w:rPr>
      </w:pPr>
      <w:r>
        <w:rPr>
          <w:b/>
        </w:rPr>
        <w:t>THE UTILITY REFORM NETWORK</w:t>
      </w:r>
    </w:p>
    <w:p>
      <w:pPr>
        <w:pStyle w:val="Normal"/>
        <w:rPr>
          <w:b/>
        </w:rPr>
      </w:pPr>
      <w:r>
        <w:rPr>
          <w:b/>
        </w:rPr>
      </w:r>
    </w:p>
    <w:p>
      <w:pPr>
        <w:pStyle w:val="Normal"/>
        <w:rPr/>
      </w:pPr>
      <w:r>
        <w:rPr/>
      </w:r>
    </w:p>
    <w:p>
      <w:pPr>
        <w:pStyle w:val="Normal"/>
        <w:ind w:firstLine="4320" w:end="0"/>
        <w:rPr/>
      </w:pPr>
      <w:r>
        <w:rPr/>
        <w:t>By:  ____________________________</w:t>
      </w:r>
    </w:p>
    <w:p>
      <w:pPr>
        <w:pStyle w:val="Normal"/>
        <w:ind w:firstLine="5040" w:end="0"/>
        <w:rPr/>
      </w:pPr>
      <w:r>
        <w:rPr/>
        <w:t>Michel Peter Florio</w:t>
      </w:r>
    </w:p>
    <w:p>
      <w:pPr>
        <w:pStyle w:val="Normal"/>
        <w:ind w:firstLine="5040" w:end="0"/>
        <w:rPr/>
      </w:pPr>
      <w:r>
        <w:rPr/>
        <w:t>Senior Attorney</w:t>
      </w:r>
    </w:p>
    <w:p>
      <w:pPr>
        <w:pStyle w:val="Normal"/>
        <w:ind w:firstLine="5040" w:end="0"/>
        <w:rPr/>
      </w:pPr>
      <w:r>
        <w:rPr/>
      </w:r>
    </w:p>
    <w:p>
      <w:pPr>
        <w:pStyle w:val="Normal"/>
        <w:ind w:firstLine="5040" w:end="0"/>
        <w:rPr/>
      </w:pPr>
      <w:r>
        <w:rPr/>
        <w:t>Robert Finkelstein</w:t>
      </w:r>
    </w:p>
    <w:p>
      <w:pPr>
        <w:pStyle w:val="Normal"/>
        <w:ind w:firstLine="5040" w:end="0"/>
        <w:rPr/>
      </w:pPr>
      <w:r>
        <w:rPr/>
        <w:t>Supervising Attorney</w:t>
      </w:r>
    </w:p>
    <w:p>
      <w:pPr>
        <w:pStyle w:val="Pleading"/>
        <w:rPr/>
      </w:pPr>
      <w:r>
        <w:rPr/>
      </w:r>
    </w:p>
    <w:sectPr>
      <w:footerReference w:type="default" r:id="rId2"/>
      <w:footerReference w:type="first" r:id="rId3"/>
      <w:footnotePr>
        <w:numFmt w:val="decimal"/>
      </w:footnotePr>
      <w:type w:val="nextPage"/>
      <w:pgSz w:w="12240" w:h="15840"/>
      <w:pgMar w:left="1440" w:right="1260" w:gutter="0" w:header="0" w:top="1440" w:footer="1440" w:bottom="1496"/>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5.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b/>
        </w:rPr>
        <w:t xml:space="preserve">  </w:t>
      </w:r>
      <w:r>
        <w:rPr/>
        <w:t>Appendix A to the ACR shows 8.04% of statewide September loads being served by direct access.  But that is a total monthly kwh usage statistic, not an end-of-month measurement.  Since direct access load was increasing sharply at least though September 20 and perhaps beyond, the end-of-month direct access percentage would logically be well above this monthly total consumption percentage.</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120" w:after="60"/>
      <w:jc w:val="center"/>
      <w:outlineLvl w:val="0"/>
    </w:pPr>
    <w:rPr>
      <w:b/>
      <w:kern w:val="2"/>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bar">
    <w:name w:val="title bar"/>
    <w:basedOn w:val="Normal"/>
    <w:qFormat/>
    <w:pPr>
      <w:widowControl w:val="false"/>
      <w:jc w:val="center"/>
    </w:pPr>
    <w:rPr>
      <w:rFonts w:ascii="Helvetica" w:hAnsi="Helvetica" w:cs="Helvetica"/>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NormalIndent">
    <w:name w:val="Normal Indent"/>
    <w:basedOn w:val="Normal"/>
    <w:qFormat/>
    <w:pPr>
      <w:ind w:hanging="0" w:start="720" w:end="0"/>
    </w:pPr>
    <w:rPr/>
  </w:style>
  <w:style w:type="paragraph" w:styleId="Pleading">
    <w:name w:val="Pleading"/>
    <w:basedOn w:val="NormalIndent"/>
    <w:qFormat/>
    <w:pPr>
      <w:ind w:hanging="0" w:start="0" w:end="0"/>
    </w:pPr>
    <w:rPr>
      <w:szCs w:val="20"/>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2001-11-02T21:51:00Z</dcterms:created>
  <dc:creator>mflorio</dc:creator>
  <dc:description/>
  <dc:language>en-CA</dc:language>
  <cp:lastModifiedBy>Hayley Goodson</cp:lastModifiedBy>
  <cp:lastPrinted>2001-11-02T15:54:00Z</cp:lastPrinted>
  <dcterms:modified xsi:type="dcterms:W3CDTF">2001-11-02T21:51:00Z</dcterms:modified>
  <cp:revision>2</cp:revision>
  <dc:subject/>
  <dc:title>BEFORE THE PUBLIC UTILITIES COMMISSION OF THE STATE OF CALIFORNIA</dc:title>
</cp:coreProperties>
</file>