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widowControl/>
        <w:rPr>
          <w:rFonts w:ascii="Times New Roman" w:hAnsi="Times New Roman" w:cs="Times New Roman"/>
          <w:sz w:val="24"/>
        </w:rPr>
      </w:pPr>
      <w:r>
        <w:rPr>
          <w:rFonts w:cs="Times New Roman" w:ascii="Times New Roman" w:hAnsi="Times New Roman"/>
          <w:sz w:val="24"/>
        </w:rPr>
      </w:r>
    </w:p>
    <w:p>
      <w:pPr>
        <w:pStyle w:val="titlebar"/>
        <w:widowControl/>
        <w:rPr>
          <w:rFonts w:ascii="Times New Roman" w:hAnsi="Times New Roman" w:cs="Times New Roman"/>
          <w:sz w:val="24"/>
        </w:rPr>
      </w:pPr>
      <w:r>
        <w:rPr>
          <w:rFonts w:cs="Times New Roman" w:ascii="Times New Roman" w:hAnsi="Times New Roman"/>
          <w:sz w:val="24"/>
        </w:rPr>
      </w:r>
    </w:p>
    <w:p>
      <w:pPr>
        <w:pStyle w:val="titlebar"/>
        <w:widowControl/>
        <w:rPr>
          <w:rFonts w:ascii="Times New Roman" w:hAnsi="Times New Roman" w:cs="Times New Roman"/>
          <w:sz w:val="24"/>
        </w:rPr>
      </w:pPr>
      <w:r>
        <w:rPr>
          <w:rFonts w:cs="Times New Roman" w:ascii="Times New Roman" w:hAnsi="Times New Roman"/>
          <w:sz w:val="24"/>
        </w:rPr>
        <w:t>BEFORE THE PUBLIC UTILITIES COMMISSION</w:t>
      </w:r>
    </w:p>
    <w:p>
      <w:pPr>
        <w:pStyle w:val="titlebar"/>
        <w:widowControl/>
        <w:rPr>
          <w:rFonts w:ascii="Times New Roman" w:hAnsi="Times New Roman" w:cs="Times New Roman"/>
          <w:sz w:val="24"/>
        </w:rPr>
      </w:pPr>
      <w:r>
        <w:rPr>
          <w:rFonts w:cs="Times New Roman" w:ascii="Times New Roman" w:hAnsi="Times New Roman"/>
          <w:sz w:val="24"/>
        </w:rPr>
        <w:t>OF THE STATE OF CALIFORNIA</w:t>
      </w:r>
    </w:p>
    <w:p>
      <w:pPr>
        <w:pStyle w:val="titlebar"/>
        <w:widowControl/>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top w:val="single" w:sz="6" w:space="0" w:color="000000"/>
              <w:bottom w:val="single" w:sz="6" w:space="0" w:color="000000"/>
              <w:end w:val="single" w:sz="6" w:space="0" w:color="000000"/>
            </w:tcBorders>
          </w:tcPr>
          <w:p>
            <w:pPr>
              <w:pStyle w:val="Normal"/>
              <w:tabs>
                <w:tab w:val="clear" w:pos="720"/>
                <w:tab w:val="left" w:pos="1440" w:leader="none"/>
                <w:tab w:val="left" w:pos="3600" w:leader="none"/>
              </w:tabs>
              <w:snapToGrid w:val="false"/>
              <w:rPr>
                <w:sz w:val="20"/>
              </w:rPr>
            </w:pPr>
            <w:r>
              <w:rPr>
                <w:sz w:val="20"/>
              </w:rPr>
            </w:r>
          </w:p>
          <w:p>
            <w:pPr>
              <w:pStyle w:val="Normal"/>
              <w:rPr>
                <w:sz w:val="20"/>
              </w:rPr>
            </w:pPr>
            <w:r>
              <w:rPr/>
              <w:t>Application of Pacific Gas and Electric Company for verification, consolidation, and approval of costs and revenues in the transition revenue account.</w:t>
            </w:r>
          </w:p>
        </w:tc>
        <w:tc>
          <w:tcPr>
            <w:tcW w:w="3600" w:type="dxa"/>
            <w:tcBorders/>
          </w:tcPr>
          <w:p>
            <w:pPr>
              <w:pStyle w:val="Normal"/>
              <w:snapToGrid w:val="false"/>
              <w:jc w:val="center"/>
              <w:rPr>
                <w:sz w:val="20"/>
              </w:rPr>
            </w:pPr>
            <w:r>
              <w:rPr>
                <w:sz w:val="20"/>
              </w:rPr>
            </w:r>
          </w:p>
          <w:p>
            <w:pPr>
              <w:pStyle w:val="Normal"/>
              <w:jc w:val="center"/>
              <w:rPr>
                <w:sz w:val="20"/>
              </w:rPr>
            </w:pPr>
            <w:r>
              <w:rPr>
                <w:sz w:val="20"/>
              </w:rPr>
            </w:r>
          </w:p>
          <w:p>
            <w:pPr>
              <w:pStyle w:val="Normal"/>
              <w:jc w:val="center"/>
              <w:rPr/>
            </w:pPr>
            <w:r>
              <w:rPr/>
              <w:t>Application 98-07-003</w:t>
            </w:r>
          </w:p>
          <w:p>
            <w:pPr>
              <w:pStyle w:val="Normal"/>
              <w:jc w:val="center"/>
              <w:rPr>
                <w:sz w:val="20"/>
              </w:rPr>
            </w:pPr>
            <w:r>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0"/>
              </w:rPr>
            </w:pPr>
            <w:r>
              <w:rPr>
                <w:sz w:val="20"/>
              </w:rPr>
            </w:r>
          </w:p>
          <w:p>
            <w:pPr>
              <w:pStyle w:val="Normal"/>
              <w:rPr>
                <w:sz w:val="20"/>
              </w:rPr>
            </w:pPr>
            <w:r>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tc>
        <w:tc>
          <w:tcPr>
            <w:tcW w:w="3600" w:type="dxa"/>
            <w:tcBorders/>
          </w:tcPr>
          <w:p>
            <w:pPr>
              <w:pStyle w:val="Normal"/>
              <w:snapToGrid w:val="false"/>
              <w:jc w:val="center"/>
              <w:rPr>
                <w:sz w:val="20"/>
              </w:rPr>
            </w:pPr>
            <w:r>
              <w:rPr>
                <w:sz w:val="20"/>
              </w:rPr>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r>
          </w:p>
          <w:p>
            <w:pPr>
              <w:pStyle w:val="Normal"/>
              <w:jc w:val="center"/>
              <w:rPr/>
            </w:pPr>
            <w:r>
              <w:rPr/>
              <w:t>Application 98-07-006</w:t>
            </w:r>
          </w:p>
          <w:p>
            <w:pPr>
              <w:pStyle w:val="Normal"/>
              <w:jc w:val="center"/>
              <w:rPr>
                <w:sz w:val="20"/>
              </w:rPr>
            </w:pPr>
            <w:r>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0"/>
              </w:rPr>
            </w:pPr>
            <w:r>
              <w:rPr>
                <w:sz w:val="20"/>
              </w:rPr>
            </w:r>
          </w:p>
          <w:p>
            <w:pPr>
              <w:pStyle w:val="Normal"/>
              <w:rPr/>
            </w:pPr>
            <w:r>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tc>
        <w:tc>
          <w:tcPr>
            <w:tcW w:w="360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Application 98-07-026</w:t>
            </w:r>
          </w:p>
          <w:p>
            <w:pPr>
              <w:pStyle w:val="Normal"/>
              <w:jc w:val="center"/>
              <w:rPr/>
            </w:pPr>
            <w:r>
              <w:rPr/>
              <w:t>(Filed July 1, 1998)</w:t>
            </w:r>
          </w:p>
        </w:tc>
      </w:tr>
    </w:tbl>
    <w:p>
      <w:pPr>
        <w:pStyle w:val="Normal"/>
        <w:jc w:val="center"/>
        <w:rPr>
          <w:b/>
        </w:rPr>
      </w:pPr>
      <w:r>
        <w:rPr>
          <w:b/>
        </w:rPr>
      </w:r>
    </w:p>
    <w:p>
      <w:pPr>
        <w:pStyle w:val="Normal"/>
        <w:jc w:val="center"/>
        <w:rPr>
          <w:b/>
        </w:rPr>
      </w:pPr>
      <w:r>
        <w:rPr>
          <w:b/>
        </w:rPr>
        <w:t>RESPONSE OF PACIFIC GAS AND ELECTRIC COMPANY (U39E)</w:t>
        <w:br/>
        <w:t xml:space="preserve"> TO ASSIGNED COMMISSIONER’S RULING REGARDING</w:t>
        <w:br/>
        <w:t xml:space="preserve">COMMENTS ON CERTAIN DIRECT ACCESS ISSUES </w:t>
      </w:r>
    </w:p>
    <w:p>
      <w:pPr>
        <w:pStyle w:val="Normal"/>
        <w:spacing w:before="120" w:after="0"/>
        <w:ind w:firstLine="720" w:start="2880" w:end="0"/>
        <w:rPr>
          <w:sz w:val="22"/>
        </w:rPr>
      </w:pPr>
      <w:r>
        <w:rPr>
          <w:sz w:val="22"/>
        </w:rPr>
        <w:t>CHRISTOPER J. WARNER</w:t>
      </w:r>
    </w:p>
    <w:p>
      <w:pPr>
        <w:pStyle w:val="Normal"/>
        <w:ind w:firstLine="720" w:end="0"/>
        <w:rPr>
          <w:sz w:val="22"/>
        </w:rPr>
      </w:pPr>
      <w:r>
        <w:rPr>
          <w:sz w:val="22"/>
        </w:rPr>
        <w:tab/>
        <w:tab/>
        <w:tab/>
        <w:tab/>
        <w:t>PETER OUBORG</w:t>
      </w:r>
    </w:p>
    <w:p>
      <w:pPr>
        <w:pStyle w:val="Normal"/>
        <w:spacing w:before="120" w:after="0"/>
        <w:rPr>
          <w:sz w:val="22"/>
        </w:rPr>
      </w:pPr>
      <w:r>
        <w:rPr>
          <w:sz w:val="22"/>
        </w:rPr>
        <w:tab/>
        <w:tab/>
        <w:tab/>
        <w:tab/>
        <w:tab/>
        <w:t>Law Department</w:t>
      </w:r>
    </w:p>
    <w:p>
      <w:pPr>
        <w:pStyle w:val="Normal"/>
        <w:ind w:firstLine="720" w:start="2880" w:end="720"/>
        <w:rPr>
          <w:sz w:val="22"/>
        </w:rPr>
      </w:pPr>
      <w:r>
        <w:rPr>
          <w:sz w:val="22"/>
        </w:rPr>
        <w:t>Pacific Gas and Electric Company</w:t>
      </w:r>
    </w:p>
    <w:p>
      <w:pPr>
        <w:pStyle w:val="Normal"/>
        <w:ind w:firstLine="720" w:start="2880" w:end="720"/>
        <w:rPr>
          <w:sz w:val="22"/>
        </w:rPr>
      </w:pPr>
      <w:r>
        <w:rPr>
          <w:sz w:val="22"/>
        </w:rPr>
        <w:t>Post Office Box 7442</w:t>
      </w:r>
    </w:p>
    <w:p>
      <w:pPr>
        <w:pStyle w:val="Normal"/>
        <w:ind w:firstLine="720" w:start="2880" w:end="720"/>
        <w:rPr>
          <w:sz w:val="22"/>
        </w:rPr>
      </w:pPr>
      <w:r>
        <w:rPr>
          <w:sz w:val="22"/>
        </w:rPr>
        <w:t>San Francisco, CA  94120</w:t>
      </w:r>
    </w:p>
    <w:p>
      <w:pPr>
        <w:pStyle w:val="Normal"/>
        <w:ind w:firstLine="720" w:start="2880" w:end="720"/>
        <w:rPr>
          <w:sz w:val="22"/>
        </w:rPr>
      </w:pPr>
      <w:r>
        <w:rPr>
          <w:sz w:val="22"/>
        </w:rPr>
        <w:t>Telephone: (415) 973-9286</w:t>
      </w:r>
    </w:p>
    <w:p>
      <w:pPr>
        <w:pStyle w:val="Normal"/>
        <w:ind w:firstLine="720" w:start="2880" w:end="720"/>
        <w:rPr>
          <w:sz w:val="22"/>
        </w:rPr>
      </w:pPr>
      <w:r>
        <w:rPr>
          <w:sz w:val="22"/>
        </w:rPr>
        <w:t>Facsimile: (415) 973-5530</w:t>
      </w:r>
    </w:p>
    <w:p>
      <w:pPr>
        <w:pStyle w:val="Normal"/>
        <w:ind w:firstLine="720" w:start="2880" w:end="720"/>
        <w:rPr>
          <w:sz w:val="22"/>
        </w:rPr>
      </w:pPr>
      <w:r>
        <w:rPr>
          <w:sz w:val="22"/>
        </w:rPr>
        <w:t>E-Mail:  PXO2@pge.com</w:t>
      </w:r>
    </w:p>
    <w:p>
      <w:pPr>
        <w:pStyle w:val="Normal"/>
        <w:spacing w:before="120" w:after="0"/>
        <w:ind w:firstLine="720" w:start="2880" w:end="720"/>
        <w:rPr/>
      </w:pPr>
      <w:r>
        <w:rPr/>
        <w:t>Attorneys for</w:t>
      </w:r>
    </w:p>
    <w:p>
      <w:pPr>
        <w:pStyle w:val="Normal"/>
        <w:ind w:firstLine="720" w:start="2880" w:end="0"/>
        <w:rPr/>
      </w:pPr>
      <w:r>
        <w:rPr/>
        <w:t>PACIFIC GAS AND ELECTRIC COMPANY</w:t>
      </w:r>
    </w:p>
    <w:p>
      <w:pPr>
        <w:pStyle w:val="Normal"/>
        <w:spacing w:before="120" w:after="0"/>
        <w:rPr/>
      </w:pPr>
      <w:r>
        <w:rPr/>
        <w:t xml:space="preserve">Dated: November 2, 2001       </w:t>
      </w:r>
    </w:p>
    <w:p>
      <w:pPr>
        <w:sectPr>
          <w:footerReference w:type="default" r:id="rId2"/>
          <w:footerReference w:type="first" r:id="rId3"/>
          <w:type w:val="nextPage"/>
          <w:pgSz w:w="12240" w:h="15840"/>
          <w:pgMar w:left="1800" w:right="1800" w:gutter="0" w:header="0" w:top="1440" w:footer="720" w:bottom="1440"/>
          <w:pgNumType w:start="0" w:fmt="decimal"/>
          <w:formProt w:val="false"/>
          <w:titlePg/>
          <w:textDirection w:val="lrTb"/>
          <w:docGrid w:type="default" w:linePitch="360" w:charSpace="0"/>
        </w:sectPr>
      </w:pPr>
    </w:p>
    <w:p>
      <w:pPr>
        <w:pStyle w:val="titlebar"/>
        <w:widowControl/>
        <w:rPr>
          <w:rFonts w:ascii="Times New Roman" w:hAnsi="Times New Roman" w:cs="Times New Roman"/>
          <w:sz w:val="24"/>
        </w:rPr>
      </w:pPr>
      <w:r>
        <w:rPr>
          <w:rFonts w:cs="Times New Roman" w:ascii="Times New Roman" w:hAnsi="Times New Roman"/>
          <w:sz w:val="24"/>
        </w:rPr>
        <w:t>BEFORE THE PUBLIC UTILITIES COMMISSION</w:t>
      </w:r>
    </w:p>
    <w:p>
      <w:pPr>
        <w:pStyle w:val="titlebar"/>
        <w:widowControl/>
        <w:rPr>
          <w:rFonts w:ascii="Times New Roman" w:hAnsi="Times New Roman" w:cs="Times New Roman"/>
          <w:sz w:val="24"/>
        </w:rPr>
      </w:pPr>
      <w:r>
        <w:rPr>
          <w:rFonts w:cs="Times New Roman" w:ascii="Times New Roman" w:hAnsi="Times New Roman"/>
          <w:sz w:val="24"/>
        </w:rPr>
        <w:t>OF THE STATE OF CALIFORNIA</w:t>
      </w:r>
    </w:p>
    <w:p>
      <w:pPr>
        <w:pStyle w:val="titlebar"/>
        <w:widowControl/>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top w:val="single" w:sz="6" w:space="0" w:color="000000"/>
              <w:bottom w:val="single" w:sz="6" w:space="0" w:color="000000"/>
              <w:end w:val="single" w:sz="6" w:space="0" w:color="000000"/>
            </w:tcBorders>
          </w:tcPr>
          <w:p>
            <w:pPr>
              <w:pStyle w:val="Normal"/>
              <w:tabs>
                <w:tab w:val="clear" w:pos="720"/>
                <w:tab w:val="left" w:pos="1440" w:leader="none"/>
                <w:tab w:val="left" w:pos="3600" w:leader="none"/>
              </w:tabs>
              <w:snapToGrid w:val="false"/>
              <w:rPr/>
            </w:pPr>
            <w:r>
              <w:rPr/>
            </w:r>
          </w:p>
          <w:p>
            <w:pPr>
              <w:pStyle w:val="Normal"/>
              <w:tabs>
                <w:tab w:val="clear" w:pos="720"/>
                <w:tab w:val="left" w:pos="1440" w:leader="none"/>
                <w:tab w:val="left" w:pos="3600" w:leader="none"/>
              </w:tabs>
              <w:rPr/>
            </w:pPr>
            <w:r>
              <w:rPr/>
              <w:t>Application of Pacific Gas and Electric Company for verification, consolidation, and approval of costs and revenues in the transition revenue account.</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t>Application 98-07-003</w:t>
            </w:r>
          </w:p>
          <w:p>
            <w:pPr>
              <w:pStyle w:val="Normal"/>
              <w:jc w:val="center"/>
              <w:rPr/>
            </w:pPr>
            <w:r>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pPr>
            <w:r>
              <w:rPr/>
            </w:r>
          </w:p>
          <w:p>
            <w:pPr>
              <w:pStyle w:val="Normal"/>
              <w:tabs>
                <w:tab w:val="clear" w:pos="720"/>
                <w:tab w:val="left" w:pos="1440" w:leader="none"/>
                <w:tab w:val="left" w:pos="3600" w:leader="none"/>
              </w:tabs>
              <w:rPr/>
            </w:pPr>
            <w:r>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Application 98-07-006</w:t>
            </w:r>
          </w:p>
          <w:p>
            <w:pPr>
              <w:pStyle w:val="Normal"/>
              <w:jc w:val="center"/>
              <w:rPr/>
            </w:pPr>
            <w:r>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pPr>
            <w:r>
              <w:rPr/>
            </w:r>
          </w:p>
          <w:p>
            <w:pPr>
              <w:pStyle w:val="Normal"/>
              <w:tabs>
                <w:tab w:val="clear" w:pos="720"/>
                <w:tab w:val="left" w:pos="1440" w:leader="none"/>
                <w:tab w:val="left" w:pos="3600" w:leader="none"/>
              </w:tabs>
              <w:rPr/>
            </w:pPr>
            <w:r>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Application 98-07-026</w:t>
            </w:r>
          </w:p>
          <w:p>
            <w:pPr>
              <w:pStyle w:val="Normal"/>
              <w:jc w:val="center"/>
              <w:rPr/>
            </w:pPr>
            <w:r>
              <w:rPr/>
              <w:t>(Filed July 1, 1998)</w:t>
            </w:r>
          </w:p>
        </w:tc>
      </w:tr>
    </w:tbl>
    <w:p>
      <w:pPr>
        <w:pStyle w:val="Normal"/>
        <w:rPr/>
      </w:pPr>
      <w:r>
        <w:rPr/>
      </w:r>
    </w:p>
    <w:p>
      <w:pPr>
        <w:pStyle w:val="FootnoteText"/>
        <w:keepLines w:val="false"/>
        <w:widowControl/>
        <w:rPr/>
      </w:pPr>
      <w:r>
        <w:rPr/>
      </w:r>
    </w:p>
    <w:p>
      <w:pPr>
        <w:pStyle w:val="Normal"/>
        <w:jc w:val="center"/>
        <w:rPr>
          <w:b/>
        </w:rPr>
      </w:pPr>
      <w:r>
        <w:rPr>
          <w:b/>
        </w:rPr>
        <w:t>RESPONSE OF PACIFIC GAS AND ELECTRIC COMPANY (U39E)</w:t>
        <w:br/>
        <w:t>TO ASSIGNED COMMISSIONER’S RULING REGARDING COMMENTS</w:t>
        <w:br/>
        <w:t>ON CERTAIN DIRECT ACCESS ISSUES</w:t>
      </w:r>
    </w:p>
    <w:p>
      <w:pPr>
        <w:pStyle w:val="Normal"/>
        <w:jc w:val="center"/>
        <w:rPr>
          <w:b/>
        </w:rPr>
      </w:pPr>
      <w:r>
        <w:rPr>
          <w:b/>
        </w:rPr>
      </w:r>
    </w:p>
    <w:p>
      <w:pPr>
        <w:pStyle w:val="BodyText1"/>
        <w:rPr/>
      </w:pPr>
      <w:r>
        <w:rPr/>
        <w:t>Pursuant to the “Assigned Commissioner’s Ruling Regarding Comments on Certain Direct Access Issues,” (ACR) issued October 23, 2001, in the captioned dockets, Pacific Gas and Electric Company (PG&amp;E) provides the following comments.</w:t>
      </w:r>
    </w:p>
    <w:p>
      <w:pPr>
        <w:pStyle w:val="BodyText1"/>
        <w:rPr/>
      </w:pPr>
      <w:r>
        <w:rPr/>
        <w:t xml:space="preserve">Throughout electric industry restructuring, PG&amp;E has strongly supported customer choice and the opportunity for customers to seek alternative energy providers via direct access.  This support, however, has always been tempered by balancing the unfettered right of customers to leave, and return at will to, utility service with the need to ensure that customers assume proper cost responsibility for obligations incurred by the utility, and others, to serve those customers.  </w:t>
      </w:r>
    </w:p>
    <w:p>
      <w:pPr>
        <w:pStyle w:val="BodyText1"/>
        <w:rPr/>
      </w:pPr>
      <w:r>
        <w:rPr/>
        <w:t>As the past twelve months have shown, substantial portions of utility load can swing back and forth between direct access service and bundled utility service.</w:t>
      </w:r>
      <w:r>
        <w:rPr>
          <w:rStyle w:val="FootnoteCharacters"/>
          <w:rStyle w:val="FootnoteReference"/>
        </w:rPr>
        <w:footnoteReference w:id="2"/>
      </w:r>
      <w:r>
        <w:rPr/>
        <w:t xml:space="preserve">  In December 2000, PG&amp;E’s direct access load stood at 11.3 % of total load.  In the period from January 2001 to June 2001, direct access dwindled down to 1.3 % of total load precisely during the period that the California Department of Water Resources (DWR) was attempting to stabilize electricity prices by incurring substantial long term cost obligations for power to serve utility customers, including the newly returned direct access customers.  Subsequently, direct access load has skyrocketed and will reach 12 % of load (and potentially as high as 16 % of load) when all pending and potential Direct Access Service Requests (DASRs) are processed.  Those customers who returned to direct access this past summer, or who newly elected direct access service, should not be allowed to escape their fair share of cost responsibility for DWR’s procurement done on their behalf.  </w:t>
      </w:r>
    </w:p>
    <w:p>
      <w:pPr>
        <w:pStyle w:val="BodyText1"/>
        <w:rPr/>
      </w:pPr>
      <w:r>
        <w:rPr/>
        <w:t xml:space="preserve">PG&amp;E has also been a strong advocate of the importance of respecting contract rights in the regulatory environment.  However, the right of customers to select alternate energy suppliers (direct access) is not a contractual, but a legislative and regulatory right.  As such this right is subject to modification or suspension to ensure that direct access customers shoulder their fair share of the cost burdens incurred by the State of California to serve them.  </w:t>
      </w:r>
    </w:p>
    <w:p>
      <w:pPr>
        <w:pStyle w:val="BodyText1"/>
        <w:rPr/>
      </w:pPr>
      <w:r>
        <w:rPr/>
        <w:t xml:space="preserve">With the foregoing principles in mind, PG&amp;E recommends that the Commission adopt and apply to direct access customers a reasonable charge to represent their cost responsibility for the DWR revenue requirement.  This charge would be assessed on current customer usage and charged prospectively to all direct access customers.  No legislation is necessary for the Commission to adopt such a charge representing costs that were incurred by DWR, and committed to by DWR for future purchases, to serve these customers while receiving utility service (there is currently no restriction on direct access load returning to utility service at any time in the future).   </w:t>
      </w:r>
    </w:p>
    <w:p>
      <w:pPr>
        <w:pStyle w:val="BodyText1"/>
        <w:rPr/>
      </w:pPr>
      <w:r>
        <w:rPr/>
        <w:t>As long as direct access customers are subject to an appropriate charge representing their responsibility for DWR’s costs,</w:t>
      </w:r>
      <w:r>
        <w:rPr>
          <w:rStyle w:val="FootnoteCharacters"/>
          <w:rStyle w:val="FootnoteReference"/>
        </w:rPr>
        <w:footnoteReference w:id="3"/>
      </w:r>
      <w:r>
        <w:rPr/>
        <w:t xml:space="preserve"> there is no need for the Commission to consider further suspension or roll-back of direct access or to consider prohibiting renewals of existing direct access contracts.</w:t>
      </w:r>
      <w:r>
        <w:rPr>
          <w:rStyle w:val="FootnoteCharacters"/>
          <w:rStyle w:val="FootnoteReference"/>
        </w:rPr>
        <w:footnoteReference w:id="4"/>
      </w:r>
      <w:r>
        <w:rPr/>
        <w:t xml:space="preserve">  Imposing a charge on direct access customers is far preferable to the option of further suspending or rolling back direct access because it would provide greater deference to customer choice and yet allow for legitimate recovery of DWR’s costs to serve those customers.</w:t>
      </w:r>
    </w:p>
    <w:p>
      <w:pPr>
        <w:pStyle w:val="Normal"/>
        <w:spacing w:lineRule="auto" w:line="360"/>
        <w:ind w:start="720" w:end="0"/>
        <w:rPr/>
      </w:pPr>
      <w:r>
        <w:rPr/>
        <w:t>PG&amp;E’s comments on the specific questions posed in the ACR follow:</w:t>
      </w:r>
    </w:p>
    <w:p>
      <w:pPr>
        <w:pStyle w:val="Heading3"/>
        <w:numPr>
          <w:ilvl w:val="0"/>
          <w:numId w:val="2"/>
        </w:numPr>
        <w:ind w:hanging="0" w:start="0"/>
        <w:rPr/>
      </w:pPr>
      <w:r>
        <w:rPr/>
        <w:t>Why should or shouldn’t the Commission choose an earlier date (than after September 20, 2001) for suspending the right to acquire direct access service?</w:t>
      </w:r>
    </w:p>
    <w:p>
      <w:pPr>
        <w:pStyle w:val="Normal"/>
        <w:rPr/>
      </w:pPr>
      <w:r>
        <w:rPr/>
      </w:r>
    </w:p>
    <w:p>
      <w:pPr>
        <w:pStyle w:val="BodyText1"/>
        <w:rPr/>
      </w:pPr>
      <w:r>
        <w:rPr/>
        <w:t xml:space="preserve">PG&amp;E’s recommendation that the Commission impose a DWR charge on direct access customers would obviate the need to consider choosing an earlier date than after September 20, 2001 for suspending the right to acquire direct access service.  </w:t>
      </w:r>
    </w:p>
    <w:p>
      <w:pPr>
        <w:pStyle w:val="Heading3"/>
        <w:numPr>
          <w:ilvl w:val="0"/>
          <w:numId w:val="2"/>
        </w:numPr>
        <w:ind w:hanging="0" w:start="0"/>
        <w:rPr/>
      </w:pPr>
      <w:r>
        <w:rPr/>
        <w:t>If the Commission should choose an earlier date, why should or shouldn’t the Commission consider the July 1, 2001 suspension as set forth in the June 15 and August 27 Draft Decisions of ALJ Barnett?  If not July 1, 2001, what other date or dates should the Commission consider and why?</w:t>
      </w:r>
    </w:p>
    <w:p>
      <w:pPr>
        <w:pStyle w:val="Normal"/>
        <w:rPr/>
      </w:pPr>
      <w:r>
        <w:rPr/>
      </w:r>
    </w:p>
    <w:p>
      <w:pPr>
        <w:pStyle w:val="Normal"/>
        <w:ind w:start="360" w:end="0"/>
        <w:rPr/>
      </w:pPr>
      <w:r>
        <w:rPr/>
        <w:t>See response to Question 1.</w:t>
      </w:r>
    </w:p>
    <w:p>
      <w:pPr>
        <w:pStyle w:val="Normal"/>
        <w:rPr/>
      </w:pPr>
      <w:r>
        <w:rPr/>
      </w:r>
    </w:p>
    <w:p>
      <w:pPr>
        <w:pStyle w:val="Heading3"/>
        <w:numPr>
          <w:ilvl w:val="0"/>
          <w:numId w:val="2"/>
        </w:numPr>
        <w:ind w:hanging="0" w:start="0"/>
        <w:rPr/>
      </w:pPr>
      <w:r>
        <w:rPr/>
        <w:t xml:space="preserve">Are there alternatives to suspending direct access as of a date before September 20, 2001, that would still alleviate cost-shifting problems?  What are the pros and cons of these alternatives?  Can the Commission adopt any such proposed alternative without new legislation?  </w:t>
      </w:r>
    </w:p>
    <w:p>
      <w:pPr>
        <w:pStyle w:val="Normal"/>
        <w:spacing w:lineRule="auto" w:line="360"/>
        <w:ind w:firstLine="360" w:end="0"/>
        <w:rPr/>
      </w:pPr>
      <w:r>
        <w:rPr/>
      </w:r>
    </w:p>
    <w:p>
      <w:pPr>
        <w:pStyle w:val="BodyText1"/>
        <w:rPr/>
      </w:pPr>
      <w:r>
        <w:rPr/>
        <w:t xml:space="preserve">PG&amp;E’s recommendation is to apply a charge to direct access customers for their share of DWR’s revenue requirement.  This alternative is significantly better than the option of further suspending or rolling back direct access because it would provide greater deference to the right of customers to choose direct access and yet allow for legitimate recovery of DWR’s costs to serve those customers.  </w:t>
      </w:r>
    </w:p>
    <w:p>
      <w:pPr>
        <w:pStyle w:val="BodyText1"/>
        <w:rPr/>
      </w:pPr>
      <w:r>
        <w:rPr/>
        <w:t xml:space="preserve">Such a charge is wholly warranted in view of events over the last nine months.  Changing conditions in the California electric market have caused a significant movement of customers subscribing to direct access.  During the initial chaos of the energy crisis, and by February 2001, most customers subscribing to direct access had switched back to bundled service to avoid the exorbitant energy prices caused by a dysfunctional electric market.  As of June 1, 2001 direct access represented only 1.3 % of PG&amp;E’s load.  It was during this same time that DWR had begun purchasing energy on behalf of the customers of PG&amp;E, Southern California Edison Company (SCE) and San Diego Gas and Electric Company (SDG&amp;E).  During this time, the investor owned utilities’ (IOUs’) net open position included the direct access customers that had switched back to bundled service.  </w:t>
      </w:r>
    </w:p>
    <w:p>
      <w:pPr>
        <w:pStyle w:val="BodyText1"/>
        <w:rPr/>
      </w:pPr>
      <w:r>
        <w:rPr/>
        <w:t>Subsequently, with the Federal Energy Regulatory Commission’s expansion of its wholesale price mitigation across the Western region, conservation efforts, new generation capacity and mild temperatures, energy prices have decreased.  The expectation of continuing lower electric energy prices and the Commission’s delayed response in acting upon the Legislature’s suspension of the direct access program in AB 1X created a window of opportunity for customers to again subscribe to direct access and potentially bypass the costs associated with DWR’s procurement for the IOUs’ net open position, which included customers that were previously direct access customers.  PG&amp;E estimates that direct access customers now represent approximately 12% of its total load (including pending DASRs).  Additional customer accounts, qualified to switch to direct access under the Commission’s September 20, 2001 decision (D. 01-09-060) could increase this load further.</w:t>
      </w:r>
    </w:p>
    <w:p>
      <w:pPr>
        <w:pStyle w:val="BodyText1"/>
        <w:rPr/>
      </w:pPr>
      <w:r>
        <w:rPr/>
        <w:t>On September 20, 2001 the Commission suspended the right of customers to enter into new contracts or agreements for direct access.</w:t>
      </w:r>
      <w:r>
        <w:rPr>
          <w:rStyle w:val="FootnoteCharacters"/>
        </w:rPr>
        <w:t xml:space="preserve"> </w:t>
      </w:r>
      <w:r>
        <w:rPr/>
        <w:t xml:space="preserve"> D. 01-09-060.  In its interim order, the Commission noted DWR’s contractual commitments “suggesting that bundled electric customers will face high energy costs over the next few years.”</w:t>
      </w:r>
      <w:r>
        <w:rPr>
          <w:rStyle w:val="FootnoteCharacters"/>
        </w:rPr>
        <w:t xml:space="preserve"> </w:t>
      </w:r>
      <w:r>
        <w:rPr>
          <w:rStyle w:val="FootnoteCharacters"/>
          <w:rStyle w:val="FootnoteReference"/>
        </w:rPr>
        <w:footnoteReference w:id="5"/>
      </w:r>
      <w:r>
        <w:rPr/>
        <w:t xml:space="preserve">  The Commission further noted “under these circumstances, customers might be tempted to switch from utility bundled service to electric service providers in order to avoid some of the impact of higher rates and take advantage of lower spot market prices.  It is not in the public interest to permit such behavior.  All ratepayers benefit from the State’s actions to ensure reliable service and, therefore, all ratepayers should contribute to the efforts to pay down the unprecedented debt incurred by the State to help weather the energy crisis.”</w:t>
      </w:r>
      <w:r>
        <w:rPr>
          <w:rStyle w:val="FootnoteCharacters"/>
          <w:rStyle w:val="FootnoteReference"/>
        </w:rPr>
        <w:footnoteReference w:id="6"/>
      </w:r>
      <w:r>
        <w:rPr/>
        <w:t xml:space="preserve">  </w:t>
      </w:r>
    </w:p>
    <w:p>
      <w:pPr>
        <w:pStyle w:val="BodyText1"/>
        <w:rPr/>
      </w:pPr>
      <w:r>
        <w:rPr/>
        <w:t>Additionally, DWR’s consultant has stated DWR’s own expectation “consistent with AB 1X, that direct access would be suspended such that there isn’t also a shifting from those parties that would leave the system, who then have had the advantage of this stabilization of the market, having those costs be shifted back to those customers who remain back on the system.  And those are key tenets of the cost allocation and the future projections of DWR’s revenue requirement.”</w:t>
      </w:r>
      <w:r>
        <w:rPr>
          <w:rStyle w:val="FootnoteCharacters"/>
          <w:rStyle w:val="FootnoteReference"/>
        </w:rPr>
        <w:footnoteReference w:id="7"/>
      </w:r>
      <w:r>
        <w:rPr/>
        <w:t xml:space="preserve">  </w:t>
      </w:r>
    </w:p>
    <w:p>
      <w:pPr>
        <w:pStyle w:val="BodyText1"/>
        <w:rPr/>
      </w:pPr>
      <w:r>
        <w:rPr/>
        <w:t xml:space="preserve">PG&amp;E agrees that all ratepayers should contribute to paying for DWR’s revenue requirement.  PG&amp;E therefore proposes, as an alternative to further suspension or roll-back of direct access, that DWR impose a fee or charge on all direct access customers. </w:t>
      </w:r>
    </w:p>
    <w:p>
      <w:pPr>
        <w:pStyle w:val="BodyText1"/>
        <w:rPr/>
      </w:pPr>
      <w:r>
        <w:rPr/>
        <w:t xml:space="preserve">The proposed DWR charge can be imposed on direct access customers by the Commission without further legislation.  In the past, the Commission has exercised similar authority by allowing utilities to recover appropriate transition costs arising from the utilities’ efforts to provide reliable service to their customers.  D. 95-12-063, mimeo at pp. 119-120.  Subsequently, the Commission directed the utilities to implement an interim non-bypassable Competitive Transition Charge on departing customers.  D. 96-04-054.  </w:t>
      </w:r>
    </w:p>
    <w:p>
      <w:pPr>
        <w:pStyle w:val="BodyText1"/>
        <w:rPr/>
      </w:pPr>
      <w:r>
        <w:rPr/>
        <w:t>The proposed charge would represent the ongoing cost responsibility of direct access customers for procurement conducted or committed to by DWR on behalf of those customers.  In the event any of these customers return to utility bundled service in the future, those customers would pay the DWR charge applicable to bundled service customers rather that the proposed fee.  In addition, the charge would be assessed on all direct access customers prospectively, based on actual load.  Finally, as noted earlier, customers have had notice as of January 17, 2001, that DWR was starting to enter into procurement arrangements on their behalf.</w:t>
      </w:r>
    </w:p>
    <w:p>
      <w:pPr>
        <w:pStyle w:val="BodyText1"/>
        <w:rPr/>
      </w:pPr>
      <w:r>
        <w:rPr/>
        <w:t>Nor would the proposed charge discriminate against direct access customers.  Indeed, the opposite is true.  The purpose of the charge would be to ensure that direct access customers are responsible for the costs DWR committed to and incurred on their behalf, and that direct access customers are therefore treated the same as bundled customers with respect to recovery of DWR revenues.  To allow direct access customers to escape those charges would amount to undue discrimination against bundled customers to whom the costs would be shifted.</w:t>
      </w:r>
    </w:p>
    <w:p>
      <w:pPr>
        <w:pStyle w:val="Heading3"/>
        <w:numPr>
          <w:ilvl w:val="0"/>
          <w:numId w:val="2"/>
        </w:numPr>
        <w:ind w:hanging="0" w:start="0"/>
        <w:rPr/>
      </w:pPr>
      <w:r>
        <w:rPr/>
        <w:t>What effect, if any, should be given to renewals of contracts originally entered into prior to the effective date of the Commission’s suspension of direct access?</w:t>
      </w:r>
    </w:p>
    <w:p>
      <w:pPr>
        <w:pStyle w:val="Normal"/>
        <w:rPr/>
      </w:pPr>
      <w:r>
        <w:rPr/>
      </w:r>
    </w:p>
    <w:p>
      <w:pPr>
        <w:pStyle w:val="BodyText1"/>
        <w:rPr/>
      </w:pPr>
      <w:r>
        <w:rPr/>
        <w:t xml:space="preserve">An appropriate charge on direct access customers obviates the need to regulate renewals of direct access contracts entered into on or before September 20, 2001.  Absent the charge, the Commission would need to address what kind of renewals should be covered by any potential prohibition against renewals.  Prohibited renewals could include (1) renewal of contracts whose terms expire without any provisions for extension; and (2) renegotiation within the contract term of any material term or condition of the contract, including price.  The Commission would also need to consider whether an interim prohibition on renewals is needed to stop renegotiations or renewals that are very likely underway already, pending final Commission action.   </w:t>
      </w:r>
    </w:p>
    <w:p>
      <w:pPr>
        <w:pStyle w:val="Heading3"/>
        <w:numPr>
          <w:ilvl w:val="0"/>
          <w:numId w:val="2"/>
        </w:numPr>
        <w:ind w:hanging="0" w:start="0"/>
        <w:rPr/>
      </w:pPr>
      <w:r>
        <w:rPr/>
        <w:t>What effect, if any, should be given to provisions in contracts (“add-on provisions”) that allow the buyer to add more facilities to be served after the date on which direct access is suspended?</w:t>
      </w:r>
    </w:p>
    <w:p>
      <w:pPr>
        <w:pStyle w:val="Normal"/>
        <w:rPr/>
      </w:pPr>
      <w:r>
        <w:rPr/>
      </w:r>
    </w:p>
    <w:p>
      <w:pPr>
        <w:pStyle w:val="BodyText1"/>
        <w:rPr/>
      </w:pPr>
      <w:r>
        <w:rPr/>
        <w:t xml:space="preserve">Again, if the Commission adopts an appropriate direct access charge, further suspension of direct access rights is unnecessary.  The issue of allowing direct access customers to add load after September 20, 2001, however, would be critical to revisit if no charge is adopted.  In PG&amp;E’s view, the Commission would have to reconsider whether any additional customer accounts (existing or new) should be able to go on direct access after September 20 or whether that date, or some other date, should become a DASR cut-off date.  </w:t>
      </w:r>
    </w:p>
    <w:p>
      <w:pPr>
        <w:pStyle w:val="Heading3"/>
        <w:numPr>
          <w:ilvl w:val="0"/>
          <w:numId w:val="2"/>
        </w:numPr>
        <w:ind w:hanging="0" w:start="0"/>
        <w:rPr/>
      </w:pPr>
      <w:r>
        <w:rPr/>
        <w:t>Are there any other types of contract provisions that the Commission should consider in terms of applying the suspension as set forth in D.01-09-060 or the Commission’s consideration of an early suspension date?</w:t>
      </w:r>
    </w:p>
    <w:p>
      <w:pPr>
        <w:pStyle w:val="BodyText1"/>
        <w:spacing w:before="240" w:after="0"/>
        <w:rPr/>
      </w:pPr>
      <w:r>
        <w:rPr/>
        <w:t xml:space="preserve">It is critical for ESPs to provide to the Commission detailed information on provisions contained in their service agreements with customers.  Without this information proper implementation of the suspension of direct access cannot occur.  Currently the Commission and the IOUs are completely reliant on ESPs to tell them what existing contracts allow by way of adding load, renewal, termination, effective date and in many other critical aspects.   </w:t>
      </w:r>
    </w:p>
    <w:p>
      <w:pPr>
        <w:pStyle w:val="Heading3"/>
        <w:numPr>
          <w:ilvl w:val="0"/>
          <w:numId w:val="2"/>
        </w:numPr>
        <w:ind w:hanging="0" w:start="0"/>
        <w:rPr/>
      </w:pPr>
      <w:r>
        <w:rPr/>
        <w:t>If any party has in its possession any of the following, please provide: (a) Copies of various types of contracts executed or agreements entered into between electric service providers and direct access customers. (b) Copies of various types of contracts or agreements offered but not executed or entered into between electric service providers and direct access customers. (c) Copies of blank direct access contracts, not otherwise provided in 7a or 7b.</w:t>
      </w:r>
    </w:p>
    <w:p>
      <w:pPr>
        <w:pStyle w:val="Normal"/>
        <w:rPr/>
      </w:pPr>
      <w:r>
        <w:rPr/>
      </w:r>
    </w:p>
    <w:p>
      <w:pPr>
        <w:pStyle w:val="BodyText1"/>
        <w:rPr/>
      </w:pPr>
      <w:r>
        <w:rPr/>
        <w:t xml:space="preserve">PG&amp;E’s normal processes for interacting with ESPs and direct access customers do not involve obtaining or reviewing such agreements.  PG&amp;E is still in the process, however, of reviewing its files for any ESP/customer contracts or agreements which may be in its possession and will forward to the Commission any responsive documents.   </w:t>
        <w:br/>
        <w:t>///</w:t>
        <w:br/>
        <w:t>///</w:t>
      </w:r>
      <w:r>
        <w:br w:type="page"/>
      </w:r>
    </w:p>
    <w:p>
      <w:pPr>
        <w:pStyle w:val="BodyText1"/>
        <w:rPr/>
      </w:pPr>
      <w:r>
        <w:rPr/>
      </w:r>
    </w:p>
    <w:p>
      <w:pPr>
        <w:pStyle w:val="BodyTextIndent2"/>
        <w:jc w:val="center"/>
        <w:rPr>
          <w:b/>
          <w:u w:val="single"/>
        </w:rPr>
      </w:pPr>
      <w:r>
        <w:rPr>
          <w:b/>
          <w:u w:val="single"/>
        </w:rPr>
        <w:t>CONCLUSION</w:t>
      </w:r>
    </w:p>
    <w:p>
      <w:pPr>
        <w:pStyle w:val="BodyText1"/>
        <w:rPr/>
      </w:pPr>
      <w:r>
        <w:rPr/>
        <w:t>For the foregoing reasons, PG&amp;E recommends that the Commission order that direct access customers be subject to a reasonable charge representing the responsibility of those customers for DWR’s procurement conducted on their behalf.  Adoption of such a fee meets the goals of AB 1X and is far preferable to confronting all the thorny legal and implementation problems associated with further suspension or roll-back of direct access.</w:t>
      </w:r>
    </w:p>
    <w:p>
      <w:pPr>
        <w:pStyle w:val="Normal"/>
        <w:rPr/>
      </w:pPr>
      <w:r>
        <w:rPr/>
      </w:r>
    </w:p>
    <w:p>
      <w:pPr>
        <w:pStyle w:val="Normal"/>
        <w:spacing w:lineRule="auto" w:line="360"/>
        <w:ind w:start="3600" w:end="0"/>
        <w:rPr/>
      </w:pPr>
      <w:r>
        <w:rPr/>
        <w:t xml:space="preserve">Respectfully submitted, </w:t>
      </w:r>
    </w:p>
    <w:p>
      <w:pPr>
        <w:pStyle w:val="Normal"/>
        <w:rPr/>
      </w:pPr>
      <w:r>
        <w:rPr/>
        <w:tab/>
        <w:tab/>
        <w:tab/>
        <w:tab/>
        <w:tab/>
        <w:t>CHRISTOPER J. WARNER</w:t>
      </w:r>
    </w:p>
    <w:p>
      <w:pPr>
        <w:pStyle w:val="Normal"/>
        <w:ind w:start="2160" w:end="0"/>
        <w:rPr/>
      </w:pPr>
      <w:r>
        <w:rPr/>
        <w:tab/>
        <w:tab/>
        <w:t>PETER OUBORG</w:t>
      </w:r>
    </w:p>
    <w:p>
      <w:pPr>
        <w:pStyle w:val="Normal"/>
        <w:ind w:start="2160" w:end="0"/>
        <w:rPr/>
      </w:pPr>
      <w:r>
        <w:rPr/>
      </w:r>
    </w:p>
    <w:p>
      <w:pPr>
        <w:pStyle w:val="Normal"/>
        <w:ind w:start="2160" w:end="0"/>
        <w:rPr/>
      </w:pPr>
      <w:r>
        <w:rPr/>
        <w:tab/>
        <w:tab/>
        <w:t>By:</w:t>
        <w:tab/>
        <w:t>________________________</w:t>
      </w:r>
    </w:p>
    <w:p>
      <w:pPr>
        <w:pStyle w:val="Normal"/>
        <w:ind w:start="2160" w:end="0"/>
        <w:rPr/>
      </w:pPr>
      <w:r>
        <w:rPr/>
        <w:tab/>
        <w:tab/>
        <w:t>     </w:t>
        <w:tab/>
        <w:t>        PETER OUBORG</w:t>
      </w:r>
    </w:p>
    <w:p>
      <w:pPr>
        <w:pStyle w:val="Normal"/>
        <w:ind w:firstLine="720" w:start="2880" w:end="720"/>
        <w:rPr/>
      </w:pPr>
      <w:r>
        <w:rPr/>
      </w:r>
    </w:p>
    <w:p>
      <w:pPr>
        <w:pStyle w:val="Normal"/>
        <w:ind w:firstLine="720" w:start="2880" w:end="720"/>
        <w:rPr/>
      </w:pPr>
      <w:r>
        <w:rPr/>
        <w:t>Attorneys for</w:t>
      </w:r>
    </w:p>
    <w:p>
      <w:pPr>
        <w:pStyle w:val="Normal"/>
        <w:ind w:firstLine="720" w:start="2880" w:end="0"/>
        <w:rPr/>
      </w:pPr>
      <w:r>
        <w:rPr/>
        <w:t>PACIFIC GAS AND ELECTRIC COMPANY</w:t>
      </w:r>
    </w:p>
    <w:p>
      <w:pPr>
        <w:pStyle w:val="Normal"/>
        <w:ind w:firstLine="720" w:start="2880" w:end="720"/>
        <w:rPr/>
      </w:pPr>
      <w:r>
        <w:rPr/>
        <w:t>Post Office Box 7442</w:t>
      </w:r>
    </w:p>
    <w:p>
      <w:pPr>
        <w:pStyle w:val="Normal"/>
        <w:ind w:firstLine="720" w:start="2880" w:end="720"/>
        <w:rPr/>
      </w:pPr>
      <w:r>
        <w:rPr/>
        <w:t>San Francisco, CA  94120</w:t>
      </w:r>
    </w:p>
    <w:p>
      <w:pPr>
        <w:pStyle w:val="Normal"/>
        <w:ind w:start="3600" w:end="720"/>
        <w:rPr/>
      </w:pPr>
      <w:r>
        <w:rPr/>
        <w:t>Telephone: (415) 973-2286</w:t>
      </w:r>
    </w:p>
    <w:p>
      <w:pPr>
        <w:pStyle w:val="Normal"/>
        <w:ind w:firstLine="720" w:start="2880" w:end="720"/>
        <w:rPr/>
      </w:pPr>
      <w:r>
        <w:rPr/>
        <w:t>Facsimile: (415) 973-5520</w:t>
      </w:r>
    </w:p>
    <w:p>
      <w:pPr>
        <w:pStyle w:val="Normal"/>
        <w:ind w:firstLine="720" w:start="2880" w:end="720"/>
        <w:rPr/>
      </w:pPr>
      <w:r>
        <w:rPr/>
        <w:t>E-Mail:  pxo2@pge.com</w:t>
      </w:r>
    </w:p>
    <w:p>
      <w:pPr>
        <w:pStyle w:val="Normal"/>
        <w:ind w:firstLine="720" w:start="5760" w:end="720"/>
        <w:rPr/>
      </w:pPr>
      <w:r>
        <w:rPr/>
      </w:r>
    </w:p>
    <w:p>
      <w:pPr>
        <w:pStyle w:val="Normal"/>
        <w:ind w:end="720"/>
        <w:rPr/>
      </w:pPr>
      <w:r>
        <w:rPr/>
        <w:t>Dated: November 2, 2001</w:t>
      </w:r>
    </w:p>
    <w:sectPr>
      <w:footnotePr>
        <w:numFmt w:val="decimal"/>
      </w:footnotePr>
      <w:type w:val="continuous"/>
      <w:pgSz w:w="12240" w:h="15840"/>
      <w:pgMar w:left="1800" w:right="1800" w:gutter="0" w:header="0" w:top="1440" w:footer="72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Palatin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PG&amp;E has attached a bar chart that illustrates graphically how direct access has fluctuated between May 2000 and the present.</w:t>
      </w:r>
    </w:p>
  </w:footnote>
  <w:footnote w:id="3">
    <w:p>
      <w:pPr>
        <w:pStyle w:val="FootnoteText"/>
        <w:rPr/>
      </w:pPr>
      <w:r>
        <w:rPr>
          <w:rStyle w:val="FootnoteCharacters"/>
        </w:rPr>
        <w:footnoteRef/>
      </w:r>
      <w:r>
        <w:rPr/>
        <w:t xml:space="preserve"> </w:t>
      </w:r>
      <w:r>
        <w:rPr/>
        <w:tab/>
        <w:t>Of course, direct access customers are also subject to other appropriate non-bypassable charges.</w:t>
      </w:r>
    </w:p>
  </w:footnote>
  <w:footnote w:id="4">
    <w:p>
      <w:pPr>
        <w:pStyle w:val="FootnoteText"/>
        <w:rPr/>
      </w:pPr>
      <w:r>
        <w:rPr>
          <w:rStyle w:val="FootnoteCharacters"/>
        </w:rPr>
        <w:footnoteRef/>
      </w:r>
      <w:r>
        <w:rPr/>
        <w:t xml:space="preserve"> </w:t>
      </w:r>
      <w:r>
        <w:rPr/>
        <w:tab/>
        <w:t>The Commission’s September 20, 2001 “Interim Decision Suspending Direct Access” (Decision (D.) 01-09-060) would remain intact, even if a charge is adopted.</w:t>
      </w:r>
    </w:p>
  </w:footnote>
  <w:footnote w:id="5">
    <w:p>
      <w:pPr>
        <w:pStyle w:val="Normal"/>
        <w:rPr/>
      </w:pPr>
      <w:r>
        <w:rPr>
          <w:rStyle w:val="FootnoteCharacters"/>
        </w:rPr>
        <w:footnoteRef/>
      </w:r>
      <w:r>
        <w:rPr/>
        <w:t xml:space="preserve"> </w:t>
      </w:r>
      <w:r>
        <w:rPr/>
        <w:tab/>
        <w:t>D.01-09-060, mimeo at p.6.</w:t>
      </w:r>
    </w:p>
  </w:footnote>
  <w:footnote w:id="6">
    <w:p>
      <w:pPr>
        <w:pStyle w:val="FootnoteText"/>
        <w:rPr/>
      </w:pPr>
      <w:r>
        <w:rPr>
          <w:rStyle w:val="FootnoteCharacters"/>
        </w:rPr>
        <w:footnoteRef/>
      </w:r>
      <w:r>
        <w:rPr/>
        <w:t xml:space="preserve"> </w:t>
      </w:r>
      <w:r>
        <w:rPr/>
        <w:tab/>
      </w:r>
      <w:r>
        <w:rPr>
          <w:i/>
        </w:rPr>
        <w:t>Ibid</w:t>
      </w:r>
      <w:r>
        <w:rPr/>
        <w:t>.</w:t>
      </w:r>
    </w:p>
  </w:footnote>
  <w:footnote w:id="7">
    <w:p>
      <w:pPr>
        <w:pStyle w:val="FootnoteText"/>
        <w:rPr/>
      </w:pPr>
      <w:r>
        <w:rPr>
          <w:rStyle w:val="FootnoteCharacters"/>
        </w:rPr>
        <w:footnoteRef/>
      </w:r>
      <w:r>
        <w:rPr/>
        <w:t xml:space="preserve"> </w:t>
      </w:r>
      <w:r>
        <w:rPr/>
        <w:tab/>
        <w:t>Transcript, p. 134, October 5, 2001 workshop on DWR’s revenue allocation model</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720" w:hanging="36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docVars>
    <w:docVar w:name="zzmpLTFontsClean" w:val="True"/>
    <w:docVar w:name="zzmpnSession" w:val="0.270138"/>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caps/>
      <w:kern w:val="2"/>
      <w:sz w:val="28"/>
    </w:rPr>
  </w:style>
  <w:style w:type="paragraph" w:styleId="Heading2">
    <w:name w:val="heading 2"/>
    <w:basedOn w:val="Normal"/>
    <w:next w:val="Normal"/>
    <w:qFormat/>
    <w:pPr>
      <w:keepNext w:val="true"/>
      <w:numPr>
        <w:ilvl w:val="1"/>
        <w:numId w:val="1"/>
      </w:numPr>
      <w:spacing w:before="240" w:after="60"/>
      <w:outlineLvl w:val="1"/>
    </w:pPr>
    <w:rPr>
      <w:b/>
    </w:rPr>
  </w:style>
  <w:style w:type="paragraph" w:styleId="Heading3">
    <w:name w:val="heading 3"/>
    <w:basedOn w:val="Normal"/>
    <w:next w:val="Normal"/>
    <w:qFormat/>
    <w:pPr>
      <w:keepNext w:val="true"/>
      <w:numPr>
        <w:ilvl w:val="0"/>
        <w:numId w:val="2"/>
      </w:numPr>
      <w:tabs>
        <w:tab w:val="left" w:pos="720" w:leader="none"/>
      </w:tabs>
      <w:spacing w:before="240" w:after="60"/>
      <w:outlineLvl w:val="2"/>
    </w:pPr>
    <w:rPr>
      <w:rFonts w:ascii="Times;Times New Roman" w:hAnsi="Times;Times New Roman" w:cs="Times;Times New Roman"/>
      <w:b/>
    </w:rPr>
  </w:style>
  <w:style w:type="paragraph" w:styleId="Heading4">
    <w:name w:val="heading 4"/>
    <w:basedOn w:val="Normal"/>
    <w:next w:val="Normal"/>
    <w:qFormat/>
    <w:pPr>
      <w:keepNext w:val="true"/>
      <w:numPr>
        <w:ilvl w:val="3"/>
        <w:numId w:val="1"/>
      </w:numPr>
      <w:spacing w:lineRule="auto" w:line="360"/>
      <w:outlineLvl w:val="3"/>
    </w:pPr>
    <w:rPr>
      <w:b/>
      <w:u w:val="single"/>
    </w:rPr>
  </w:style>
  <w:style w:type="paragraph" w:styleId="Heading5">
    <w:name w:val="heading 5"/>
    <w:basedOn w:val="Normal"/>
    <w:next w:val="Normal"/>
    <w:qFormat/>
    <w:pPr>
      <w:keepNext w:val="true"/>
      <w:numPr>
        <w:ilvl w:val="4"/>
        <w:numId w:val="1"/>
      </w:numPr>
      <w:spacing w:lineRule="auto" w:line="360"/>
      <w:ind w:hanging="0" w:start="360" w:end="0"/>
      <w:outlineLvl w:val="4"/>
    </w:pPr>
    <w:rPr>
      <w:b/>
      <w:u w:val="sing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4"/>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bar">
    <w:name w:val="title bar"/>
    <w:basedOn w:val="Normal"/>
    <w:qFormat/>
    <w:pPr>
      <w:keepNext w:val="true"/>
      <w:widowControl w:val="false"/>
      <w:suppressAutoHyphens w:val="true"/>
      <w:jc w:val="center"/>
    </w:pPr>
    <w:rPr>
      <w:rFonts w:ascii="Helvetica" w:hAnsi="Helvetica" w:cs="Helvetica"/>
      <w:b/>
      <w:sz w:val="26"/>
    </w:rPr>
  </w:style>
  <w:style w:type="paragraph" w:styleId="FootnoteText">
    <w:name w:val="footnote text"/>
    <w:basedOn w:val="Normal"/>
    <w:pPr>
      <w:keepLines/>
      <w:widowControl w:val="fals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no1">
    <w:name w:val="no.1"/>
    <w:basedOn w:val="Normal"/>
    <w:qFormat/>
    <w:pPr>
      <w:tabs>
        <w:tab w:val="clear" w:pos="720"/>
        <w:tab w:val="left" w:pos="1080" w:leader="none"/>
      </w:tabs>
      <w:spacing w:before="0" w:after="120"/>
      <w:ind w:hanging="360" w:start="1080" w:end="720"/>
    </w:pPr>
    <w:rPr>
      <w:rFonts w:ascii="Palatino" w:hAnsi="Palatino" w:cs="Palatino"/>
      <w:sz w:val="26"/>
    </w:rPr>
  </w:style>
  <w:style w:type="paragraph" w:styleId="noa">
    <w:name w:val="no.a"/>
    <w:basedOn w:val="Normal"/>
    <w:qFormat/>
    <w:pPr>
      <w:tabs>
        <w:tab w:val="clear" w:pos="720"/>
        <w:tab w:val="left" w:pos="360" w:leader="none"/>
        <w:tab w:val="left" w:pos="1440" w:leader="none"/>
      </w:tabs>
      <w:spacing w:before="0" w:after="120"/>
      <w:ind w:hanging="0" w:start="1440" w:end="0"/>
    </w:pPr>
    <w:rPr>
      <w:rFonts w:ascii="Palatino" w:hAnsi="Palatino" w:cs="Palatino"/>
      <w:sz w:val="26"/>
    </w:rPr>
  </w:style>
  <w:style w:type="paragraph" w:styleId="a2">
    <w:name w:val="a.2"/>
    <w:basedOn w:val="Normal"/>
    <w:qFormat/>
    <w:pPr>
      <w:tabs>
        <w:tab w:val="clear" w:pos="720"/>
        <w:tab w:val="left" w:pos="1800" w:leader="none"/>
      </w:tabs>
      <w:spacing w:before="0" w:after="120"/>
      <w:ind w:hanging="360" w:start="1800" w:end="0"/>
    </w:pPr>
    <w:rPr>
      <w:rFonts w:ascii="Palatino" w:hAnsi="Palatino" w:cs="Palatino"/>
      <w:sz w:val="26"/>
    </w:rPr>
  </w:style>
  <w:style w:type="paragraph" w:styleId="BodyText2">
    <w:name w:val="Body Text 2"/>
    <w:basedOn w:val="Normal"/>
    <w:qFormat/>
    <w:pPr>
      <w:ind w:firstLine="360" w:start="0" w:end="0"/>
    </w:pPr>
    <w:rPr/>
  </w:style>
  <w:style w:type="paragraph" w:styleId="standard">
    <w:name w:val="standard"/>
    <w:basedOn w:val="Normal"/>
    <w:qFormat/>
    <w:pPr>
      <w:widowControl w:val="false"/>
      <w:spacing w:lineRule="auto" w:line="360"/>
      <w:ind w:firstLine="720" w:start="0" w:end="0"/>
    </w:pPr>
    <w:rPr>
      <w:rFonts w:ascii="Palatino" w:hAnsi="Palatino" w:cs="Palatino"/>
      <w:sz w:val="26"/>
    </w:rPr>
  </w:style>
  <w:style w:type="paragraph" w:styleId="BodyTextIndent2">
    <w:name w:val="Body Text Indent 2"/>
    <w:basedOn w:val="Normal"/>
    <w:qFormat/>
    <w:pPr>
      <w:spacing w:lineRule="auto" w:line="360"/>
      <w:ind w:firstLine="360" w:start="360" w:end="0"/>
    </w:pPr>
    <w:rPr/>
  </w:style>
  <w:style w:type="paragraph" w:styleId="BlockText">
    <w:name w:val="Block Text"/>
    <w:basedOn w:val="Normal"/>
    <w:qFormat/>
    <w:pPr>
      <w:spacing w:lineRule="auto" w:line="480"/>
    </w:pPr>
    <w:rPr/>
  </w:style>
  <w:style w:type="paragraph" w:styleId="BodyText1">
    <w:name w:val="Body Text 1"/>
    <w:basedOn w:val="Normal"/>
    <w:qFormat/>
    <w:pPr>
      <w:spacing w:lineRule="auto" w:line="480"/>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2001-11-02T20:03:00Z</dcterms:created>
  <dc:creator>Jennifer Post</dc:creator>
  <dc:description/>
  <dc:language>en-CA</dc:language>
  <cp:lastModifiedBy>PG&amp;E Utility Employee</cp:lastModifiedBy>
  <cp:lastPrinted>2001-11-02T14:33:00Z</cp:lastPrinted>
  <dcterms:modified xsi:type="dcterms:W3CDTF">2001-11-02T20:45:00Z</dcterms:modified>
  <cp:revision>3</cp:revision>
  <dc:subject/>
  <dc:title>BEFORE THE PUBLIC UTILITIES COMMISSION</dc:title>
</cp:coreProperties>
</file>