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mallCaps/>
          <w:sz w:val="20"/>
        </w:rPr>
      </w:pPr>
      <w:r>
        <w:rPr>
          <w:b/>
          <w:bCs/>
          <w:smallCaps/>
          <w:sz w:val="20"/>
        </w:rPr>
        <w:t>Refinement to terms and conditions of direct access</w:t>
      </w:r>
    </w:p>
    <w:p>
      <w:pPr>
        <w:pStyle w:val="BodyTextIndent"/>
        <w:rPr>
          <w:b/>
          <w:bCs/>
          <w:i/>
          <w:i/>
          <w:iCs/>
          <w:sz w:val="20"/>
        </w:rPr>
      </w:pPr>
      <w:r>
        <w:rPr>
          <w:b/>
          <w:bCs/>
          <w:i/>
          <w:iCs/>
          <w:sz w:val="20"/>
        </w:rPr>
        <w:t>Problem</w:t>
      </w:r>
    </w:p>
    <w:p>
      <w:pPr>
        <w:pStyle w:val="BodyTextIndent"/>
        <w:ind w:hanging="0" w:start="360" w:end="0"/>
        <w:rPr>
          <w:sz w:val="20"/>
        </w:rPr>
      </w:pPr>
      <w:r>
        <w:rPr>
          <w:sz w:val="20"/>
        </w:rPr>
        <w:t>Forcing all 20KW-and-above customers to decide definitively by 1.1.2003 whether they intend to be a noncore or core customer could create market disturbances that may raise prices for all customers.</w:t>
      </w:r>
    </w:p>
    <w:p>
      <w:pPr>
        <w:pStyle w:val="Normal"/>
        <w:ind w:hanging="1440" w:start="1440" w:end="0"/>
        <w:rPr>
          <w:sz w:val="20"/>
        </w:rPr>
      </w:pPr>
      <w:r>
        <w:rPr>
          <w:sz w:val="20"/>
        </w:rPr>
      </w:r>
    </w:p>
    <w:p>
      <w:pPr>
        <w:pStyle w:val="Heading1"/>
        <w:rPr>
          <w:i/>
          <w:i/>
          <w:iCs/>
          <w:sz w:val="20"/>
        </w:rPr>
      </w:pPr>
      <w:r>
        <w:rPr>
          <w:i/>
          <w:iCs/>
          <w:sz w:val="20"/>
        </w:rPr>
        <w:t>Why is it a problem?</w:t>
      </w:r>
    </w:p>
    <w:p>
      <w:pPr>
        <w:pStyle w:val="Normal"/>
        <w:numPr>
          <w:ilvl w:val="0"/>
          <w:numId w:val="5"/>
        </w:numPr>
        <w:rPr>
          <w:sz w:val="20"/>
        </w:rPr>
      </w:pPr>
      <w:r>
        <w:rPr>
          <w:sz w:val="20"/>
        </w:rPr>
        <w:t>20 KW-and-above customers represent approximately two-thirds of Edison’s load (and approximately two-thirds PG&amp;E’s load, if the solution is ultimately applied to PG&amp;E).</w:t>
      </w:r>
    </w:p>
    <w:p>
      <w:pPr>
        <w:pStyle w:val="Normal"/>
        <w:numPr>
          <w:ilvl w:val="0"/>
          <w:numId w:val="5"/>
        </w:numPr>
        <w:rPr>
          <w:sz w:val="20"/>
        </w:rPr>
      </w:pPr>
      <w:r>
        <w:rPr>
          <w:sz w:val="20"/>
        </w:rPr>
        <w:t xml:space="preserve">Forcing the entirety of that load into the market at the same time will create a “demand spike,” and is likely to raise market prices artificially. </w:t>
      </w:r>
    </w:p>
    <w:p>
      <w:pPr>
        <w:pStyle w:val="Normal"/>
        <w:numPr>
          <w:ilvl w:val="0"/>
          <w:numId w:val="5"/>
        </w:numPr>
        <w:rPr>
          <w:sz w:val="20"/>
        </w:rPr>
      </w:pPr>
      <w:r>
        <w:rPr>
          <w:sz w:val="20"/>
        </w:rPr>
        <w:t>This “forcing” includes the case where customers choose the option of having the utility tailor a contract, since the utility will have to go to the market to arrange for the supply necessary to offer the contract.</w:t>
      </w:r>
    </w:p>
    <w:p>
      <w:pPr>
        <w:pStyle w:val="Normal"/>
        <w:numPr>
          <w:ilvl w:val="0"/>
          <w:numId w:val="5"/>
        </w:numPr>
        <w:rPr>
          <w:sz w:val="20"/>
        </w:rPr>
      </w:pPr>
      <w:r>
        <w:rPr>
          <w:sz w:val="20"/>
        </w:rPr>
        <w:t>Faced with the volatility in the market over the past 12 months, it is unclear how many 500 KW customers will choose core-elect status.</w:t>
      </w:r>
    </w:p>
    <w:p>
      <w:pPr>
        <w:pStyle w:val="Normal"/>
        <w:numPr>
          <w:ilvl w:val="0"/>
          <w:numId w:val="5"/>
        </w:numPr>
        <w:rPr>
          <w:sz w:val="20"/>
        </w:rPr>
      </w:pPr>
      <w:r>
        <w:rPr>
          <w:sz w:val="20"/>
        </w:rPr>
        <w:t>Given the lower level of sophistication among 20-500 KW customers (compared to 500 KW-and-above customers), the likelihood that this class will choose core-elect status is even greater than the likelihood of a 500 KW-and-above customer choosing core-elect status.</w:t>
      </w:r>
    </w:p>
    <w:p>
      <w:pPr>
        <w:pStyle w:val="Normal"/>
        <w:numPr>
          <w:ilvl w:val="0"/>
          <w:numId w:val="5"/>
        </w:numPr>
        <w:rPr>
          <w:sz w:val="20"/>
        </w:rPr>
      </w:pPr>
      <w:r>
        <w:rPr>
          <w:sz w:val="20"/>
        </w:rPr>
        <w:t>The result:  1) Core customers could be very short power (i.e., many 500 KW-and-above customers choose core elect status) and 2) the “rush to market” by remaining customers could create an artificial demand spike that raises prices artificially for all customers, core and noncore alike.</w:t>
      </w:r>
    </w:p>
    <w:p>
      <w:pPr>
        <w:pStyle w:val="Normal"/>
        <w:numPr>
          <w:ilvl w:val="0"/>
          <w:numId w:val="5"/>
        </w:numPr>
        <w:rPr>
          <w:sz w:val="20"/>
        </w:rPr>
      </w:pPr>
      <w:r>
        <w:rPr>
          <w:sz w:val="20"/>
        </w:rPr>
        <w:t>Alternatively, if customers feel compelled to “rush to market,” the utility would find itself very long power (i.e., generating assets in excess of demand).</w:t>
      </w:r>
    </w:p>
    <w:p>
      <w:pPr>
        <w:pStyle w:val="Normal"/>
        <w:numPr>
          <w:ilvl w:val="0"/>
          <w:numId w:val="5"/>
        </w:numPr>
        <w:rPr>
          <w:sz w:val="20"/>
        </w:rPr>
      </w:pPr>
      <w:r>
        <w:rPr>
          <w:sz w:val="20"/>
        </w:rPr>
        <w:t>California’s comprehensive solution to the electricity crisis can and should avoid fostering either extreme</w:t>
      </w:r>
    </w:p>
    <w:p>
      <w:pPr>
        <w:pStyle w:val="Normal"/>
        <w:rPr>
          <w:sz w:val="20"/>
        </w:rPr>
      </w:pPr>
      <w:r>
        <w:rPr>
          <w:sz w:val="20"/>
        </w:rPr>
      </w:r>
    </w:p>
    <w:p>
      <w:pPr>
        <w:pStyle w:val="Heading2"/>
        <w:ind w:hanging="0" w:start="0"/>
        <w:rPr>
          <w:sz w:val="20"/>
        </w:rPr>
      </w:pPr>
      <w:r>
        <w:rPr>
          <w:sz w:val="20"/>
        </w:rPr>
        <w:t>Proposed Solution</w:t>
      </w:r>
    </w:p>
    <w:p>
      <w:pPr>
        <w:pStyle w:val="Normal"/>
        <w:numPr>
          <w:ilvl w:val="0"/>
          <w:numId w:val="4"/>
        </w:numPr>
        <w:tabs>
          <w:tab w:val="clear" w:pos="720"/>
        </w:tabs>
        <w:ind w:hanging="360" w:start="360" w:end="0"/>
        <w:rPr>
          <w:i/>
          <w:i/>
          <w:iCs/>
          <w:sz w:val="20"/>
        </w:rPr>
      </w:pPr>
      <w:r>
        <w:rPr>
          <w:i/>
          <w:iCs/>
          <w:sz w:val="20"/>
        </w:rPr>
        <w:t>Customers 500 KW and Above</w:t>
      </w:r>
    </w:p>
    <w:p>
      <w:pPr>
        <w:pStyle w:val="Normal"/>
        <w:numPr>
          <w:ilvl w:val="0"/>
          <w:numId w:val="3"/>
        </w:numPr>
        <w:tabs>
          <w:tab w:val="clear" w:pos="720"/>
        </w:tabs>
        <w:ind w:hanging="360" w:start="720" w:end="0"/>
        <w:rPr>
          <w:sz w:val="20"/>
        </w:rPr>
      </w:pPr>
      <w:r>
        <w:rPr>
          <w:sz w:val="20"/>
        </w:rPr>
        <w:t>Must notify utility by October 1, 2001 of intent to:</w:t>
      </w:r>
    </w:p>
    <w:p>
      <w:pPr>
        <w:pStyle w:val="Normal"/>
        <w:numPr>
          <w:ilvl w:val="1"/>
          <w:numId w:val="2"/>
        </w:numPr>
        <w:tabs>
          <w:tab w:val="clear" w:pos="720"/>
        </w:tabs>
        <w:ind w:hanging="360" w:start="1080" w:end="0"/>
        <w:rPr>
          <w:sz w:val="20"/>
        </w:rPr>
      </w:pPr>
      <w:r>
        <w:rPr>
          <w:sz w:val="20"/>
        </w:rPr>
        <w:t>Request core-elect status (utility required to provide core-elect service)</w:t>
      </w:r>
    </w:p>
    <w:p>
      <w:pPr>
        <w:pStyle w:val="Normal"/>
        <w:numPr>
          <w:ilvl w:val="1"/>
          <w:numId w:val="2"/>
        </w:numPr>
        <w:tabs>
          <w:tab w:val="clear" w:pos="720"/>
        </w:tabs>
        <w:ind w:hanging="360" w:start="1080" w:end="0"/>
        <w:rPr>
          <w:sz w:val="20"/>
        </w:rPr>
      </w:pPr>
      <w:r>
        <w:rPr>
          <w:sz w:val="20"/>
        </w:rPr>
        <w:t>Sign a contract for generation services with the utility (terms and conditions of bi-lateral arrangement agreed to by customer and utility—no mandate on utility)</w:t>
      </w:r>
    </w:p>
    <w:p>
      <w:pPr>
        <w:pStyle w:val="Normal"/>
        <w:numPr>
          <w:ilvl w:val="0"/>
          <w:numId w:val="3"/>
        </w:numPr>
        <w:tabs>
          <w:tab w:val="clear" w:pos="720"/>
        </w:tabs>
        <w:ind w:hanging="360" w:start="720" w:end="0"/>
        <w:rPr>
          <w:sz w:val="20"/>
        </w:rPr>
      </w:pPr>
      <w:r>
        <w:rPr>
          <w:sz w:val="20"/>
        </w:rPr>
        <w:t xml:space="preserve">Utility must provide ‘provider of last resort” (PLR) service for noncore customers </w:t>
      </w:r>
    </w:p>
    <w:p>
      <w:pPr>
        <w:pStyle w:val="Normal"/>
        <w:numPr>
          <w:ilvl w:val="1"/>
          <w:numId w:val="2"/>
        </w:numPr>
        <w:tabs>
          <w:tab w:val="clear" w:pos="720"/>
        </w:tabs>
        <w:ind w:hanging="360" w:start="1080" w:end="0"/>
        <w:rPr>
          <w:sz w:val="20"/>
        </w:rPr>
      </w:pPr>
      <w:r>
        <w:rPr>
          <w:sz w:val="20"/>
        </w:rPr>
        <w:t>PLR service is defined as short-term (“spot”) generation service only</w:t>
      </w:r>
    </w:p>
    <w:p>
      <w:pPr>
        <w:pStyle w:val="Normal"/>
        <w:numPr>
          <w:ilvl w:val="0"/>
          <w:numId w:val="3"/>
        </w:numPr>
        <w:tabs>
          <w:tab w:val="clear" w:pos="720"/>
        </w:tabs>
        <w:ind w:hanging="360" w:start="720" w:end="0"/>
        <w:rPr>
          <w:sz w:val="20"/>
        </w:rPr>
      </w:pPr>
      <w:r>
        <w:rPr>
          <w:sz w:val="20"/>
        </w:rPr>
        <w:t>Having chosen noncore status, to attain core elect status after 1.1.03, the noncore customer must:</w:t>
      </w:r>
    </w:p>
    <w:p>
      <w:pPr>
        <w:pStyle w:val="Normal"/>
        <w:numPr>
          <w:ilvl w:val="1"/>
          <w:numId w:val="2"/>
        </w:numPr>
        <w:tabs>
          <w:tab w:val="clear" w:pos="720"/>
        </w:tabs>
        <w:ind w:hanging="360" w:start="1080" w:end="0"/>
        <w:rPr>
          <w:sz w:val="20"/>
        </w:rPr>
      </w:pPr>
      <w:r>
        <w:rPr>
          <w:sz w:val="20"/>
        </w:rPr>
        <w:t>Notify utility of intent to return to core-elect status</w:t>
      </w:r>
    </w:p>
    <w:p>
      <w:pPr>
        <w:pStyle w:val="Normal"/>
        <w:numPr>
          <w:ilvl w:val="1"/>
          <w:numId w:val="2"/>
        </w:numPr>
        <w:tabs>
          <w:tab w:val="clear" w:pos="720"/>
        </w:tabs>
        <w:ind w:hanging="360" w:start="1080" w:end="0"/>
        <w:rPr>
          <w:sz w:val="20"/>
        </w:rPr>
      </w:pPr>
      <w:r>
        <w:rPr>
          <w:sz w:val="20"/>
        </w:rPr>
        <w:t>Utility must grant core-elect status within 12 months</w:t>
      </w:r>
    </w:p>
    <w:p>
      <w:pPr>
        <w:pStyle w:val="Normal"/>
        <w:numPr>
          <w:ilvl w:val="1"/>
          <w:numId w:val="2"/>
        </w:numPr>
        <w:tabs>
          <w:tab w:val="clear" w:pos="720"/>
        </w:tabs>
        <w:ind w:hanging="360" w:start="1080" w:end="0"/>
        <w:rPr>
          <w:sz w:val="20"/>
        </w:rPr>
      </w:pPr>
      <w:r>
        <w:rPr>
          <w:sz w:val="20"/>
        </w:rPr>
        <w:t>If customer wants utility service prior to receiving core-elect status, the customer will receive service under PLR terms and conditions only</w:t>
      </w:r>
    </w:p>
    <w:p>
      <w:pPr>
        <w:pStyle w:val="Normal"/>
        <w:ind w:start="720" w:end="0"/>
        <w:rPr>
          <w:sz w:val="20"/>
        </w:rPr>
      </w:pPr>
      <w:r>
        <w:rPr>
          <w:sz w:val="20"/>
        </w:rPr>
      </w:r>
    </w:p>
    <w:p>
      <w:pPr>
        <w:pStyle w:val="Normal"/>
        <w:numPr>
          <w:ilvl w:val="0"/>
          <w:numId w:val="4"/>
        </w:numPr>
        <w:tabs>
          <w:tab w:val="clear" w:pos="720"/>
        </w:tabs>
        <w:ind w:hanging="360" w:start="360" w:end="0"/>
        <w:rPr>
          <w:i/>
          <w:i/>
          <w:iCs/>
          <w:sz w:val="20"/>
        </w:rPr>
      </w:pPr>
      <w:r>
        <w:rPr>
          <w:i/>
          <w:iCs/>
          <w:sz w:val="20"/>
        </w:rPr>
        <w:t>Customers between 20 KW and 500 KW</w:t>
      </w:r>
    </w:p>
    <w:p>
      <w:pPr>
        <w:pStyle w:val="Normal"/>
        <w:numPr>
          <w:ilvl w:val="0"/>
          <w:numId w:val="3"/>
        </w:numPr>
        <w:tabs>
          <w:tab w:val="clear" w:pos="720"/>
        </w:tabs>
        <w:ind w:hanging="360" w:start="720" w:end="0"/>
        <w:rPr>
          <w:sz w:val="20"/>
        </w:rPr>
      </w:pPr>
      <w:r>
        <w:rPr>
          <w:i/>
          <w:iCs/>
          <w:sz w:val="20"/>
        </w:rPr>
        <w:t>Either</w:t>
      </w:r>
      <w:r>
        <w:rPr>
          <w:sz w:val="20"/>
        </w:rPr>
        <w:t xml:space="preserve"> do not have a “date certain” by which to choose between core and noncore status (i.e., this customer group will have Direct Access status as it exists today for leaving the utility system.</w:t>
      </w:r>
    </w:p>
    <w:p>
      <w:pPr>
        <w:pStyle w:val="Normal"/>
        <w:numPr>
          <w:ilvl w:val="0"/>
          <w:numId w:val="3"/>
        </w:numPr>
        <w:tabs>
          <w:tab w:val="clear" w:pos="720"/>
        </w:tabs>
        <w:ind w:hanging="360" w:start="720" w:end="0"/>
        <w:rPr>
          <w:sz w:val="20"/>
        </w:rPr>
      </w:pPr>
      <w:r>
        <w:rPr>
          <w:i/>
          <w:iCs/>
          <w:sz w:val="20"/>
        </w:rPr>
        <w:t>Or</w:t>
      </w:r>
      <w:r>
        <w:rPr>
          <w:sz w:val="20"/>
        </w:rPr>
        <w:t xml:space="preserve"> have until October 2005 to determine core/noncore status (but retain Direct Access rights between now and 10.1.2005)</w:t>
      </w:r>
    </w:p>
    <w:p>
      <w:pPr>
        <w:pStyle w:val="Normal"/>
        <w:numPr>
          <w:ilvl w:val="0"/>
          <w:numId w:val="3"/>
        </w:numPr>
        <w:tabs>
          <w:tab w:val="clear" w:pos="720"/>
        </w:tabs>
        <w:ind w:hanging="360" w:start="720" w:end="0"/>
        <w:rPr>
          <w:sz w:val="20"/>
        </w:rPr>
      </w:pPr>
      <w:r>
        <w:rPr>
          <w:sz w:val="20"/>
        </w:rPr>
        <w:t>Requirements for requesting and attaining core-elect status once the move to noncore status has been exercised would be the same for 20-500 KW customers as it is for 500 KW-and-above customers.</w:t>
      </w:r>
    </w:p>
    <w:p>
      <w:pPr>
        <w:pStyle w:val="Normal"/>
        <w:numPr>
          <w:ilvl w:val="0"/>
          <w:numId w:val="3"/>
        </w:numPr>
        <w:tabs>
          <w:tab w:val="clear" w:pos="720"/>
        </w:tabs>
        <w:ind w:hanging="360" w:start="720" w:end="0"/>
        <w:rPr>
          <w:sz w:val="20"/>
        </w:rPr>
      </w:pPr>
      <w:r>
        <w:rPr>
          <w:sz w:val="20"/>
        </w:rPr>
        <w:t>Utility must provide ‘provider of last resort” (PLR) service for 20-500 KW customers who have elected noncore status just as it would for 500 KW-and-above customers</w:t>
      </w:r>
    </w:p>
    <w:p>
      <w:pPr>
        <w:pStyle w:val="Normal"/>
        <w:ind w:start="360" w:end="0"/>
        <w:rPr>
          <w:sz w:val="20"/>
        </w:rPr>
      </w:pPr>
      <w:r>
        <w:rPr>
          <w:sz w:val="20"/>
        </w:rPr>
      </w:r>
    </w:p>
    <w:p>
      <w:pPr>
        <w:pStyle w:val="Normal"/>
        <w:numPr>
          <w:ilvl w:val="0"/>
          <w:numId w:val="4"/>
        </w:numPr>
        <w:tabs>
          <w:tab w:val="clear" w:pos="720"/>
        </w:tabs>
        <w:ind w:hanging="360" w:start="360" w:end="0"/>
        <w:rPr>
          <w:i/>
          <w:i/>
          <w:iCs/>
          <w:sz w:val="20"/>
        </w:rPr>
      </w:pPr>
      <w:r>
        <w:rPr>
          <w:i/>
          <w:iCs/>
          <w:sz w:val="20"/>
        </w:rPr>
        <w:t>Less than 20 KW customers eligible for “green only” Direct Access</w:t>
      </w:r>
    </w:p>
    <w:p>
      <w:pPr>
        <w:pStyle w:val="Normal"/>
        <w:numPr>
          <w:ilvl w:val="0"/>
          <w:numId w:val="3"/>
        </w:numPr>
        <w:tabs>
          <w:tab w:val="clear" w:pos="720"/>
        </w:tabs>
        <w:ind w:hanging="360" w:start="720" w:end="0"/>
        <w:rPr>
          <w:sz w:val="20"/>
        </w:rPr>
      </w:pPr>
      <w:r>
        <w:rPr>
          <w:sz w:val="20"/>
        </w:rPr>
        <w:t>No “date certain” requirements determining core/Direct Access status (i.e., same guidelines for leaving the utility as exists under Direct Access)</w:t>
      </w:r>
    </w:p>
    <w:p>
      <w:pPr>
        <w:pStyle w:val="Normal"/>
        <w:numPr>
          <w:ilvl w:val="0"/>
          <w:numId w:val="3"/>
        </w:numPr>
        <w:tabs>
          <w:tab w:val="clear" w:pos="720"/>
        </w:tabs>
        <w:ind w:hanging="360" w:start="720" w:end="0"/>
        <w:rPr>
          <w:b/>
          <w:bCs/>
          <w:sz w:val="20"/>
        </w:rPr>
      </w:pPr>
      <w:r>
        <w:rPr>
          <w:b/>
          <w:bCs/>
          <w:sz w:val="20"/>
        </w:rPr>
        <w:t>[[Question for group:  Should there be “return rights” similar to those agreed to for 20 KW-and-above customers for 20 KW-and-below this customers?]]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576"/>
        </w:tabs>
        <w:ind w:start="576" w:hanging="432"/>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1440" w:start="1440" w:end="0"/>
      <w:outlineLvl w:val="0"/>
    </w:pPr>
    <w:rPr>
      <w:b/>
      <w:bCs/>
      <w:sz w:val="22"/>
    </w:rPr>
  </w:style>
  <w:style w:type="paragraph" w:styleId="Heading2">
    <w:name w:val="heading 2"/>
    <w:basedOn w:val="Normal"/>
    <w:next w:val="Normal"/>
    <w:qFormat/>
    <w:pPr>
      <w:keepNext w:val="true"/>
      <w:numPr>
        <w:ilvl w:val="1"/>
        <w:numId w:val="1"/>
      </w:numPr>
      <w:outlineLvl w:val="1"/>
    </w:pPr>
    <w:rPr>
      <w:b/>
      <w:bCs/>
      <w:i/>
      <w:iCs/>
      <w:sz w:val="22"/>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2001-06-09T17:49:00Z</dcterms:created>
  <dc:creator>jdasovic</dc:creator>
  <dc:description/>
  <dc:language>en-CA</dc:language>
  <cp:lastModifiedBy>jdasovic</cp:lastModifiedBy>
  <dcterms:modified xsi:type="dcterms:W3CDTF">2001-06-10T14:43:00Z</dcterms:modified>
  <cp:revision>18</cp:revision>
  <dc:subject/>
  <dc:title>REFINEMENT TO TERMS AND CONDITIONS OF DIRECT ACCESS</dc:title>
</cp:coreProperties>
</file>