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lockText"/>
        <w:jc w:val="center"/>
        <w:rPr>
          <w:b/>
          <w:bCs/>
        </w:rPr>
      </w:pPr>
      <w:r>
        <w:rPr>
          <w:b/>
          <w:bCs/>
        </w:rPr>
        <w:t>PROPOSAL TO SETTLE PAST DIRECT ACCESS CREDIT ISSUES</w:t>
      </w:r>
    </w:p>
    <w:p>
      <w:pPr>
        <w:pStyle w:val="BlockText"/>
        <w:jc w:val="center"/>
        <w:rPr>
          <w:b/>
          <w:bCs/>
        </w:rPr>
      </w:pPr>
      <w:r>
        <w:rPr>
          <w:b/>
          <w:bCs/>
        </w:rPr>
        <w:t xml:space="preserve"> </w:t>
      </w:r>
      <w:r>
        <w:rPr>
          <w:b/>
          <w:bCs/>
        </w:rPr>
        <w:t>AND DETERMINE THE DIRECT ACCESS CREDIT GOING FORWARD</w:t>
      </w:r>
    </w:p>
    <w:p>
      <w:pPr>
        <w:pStyle w:val="BlockText"/>
        <w:jc w:val="center"/>
        <w:rPr>
          <w:b/>
          <w:bCs/>
        </w:rPr>
      </w:pPr>
      <w:r>
        <w:rPr>
          <w:b/>
          <w:bCs/>
        </w:rPr>
      </w:r>
    </w:p>
    <w:p>
      <w:pPr>
        <w:pStyle w:val="BlockText"/>
        <w:rPr/>
      </w:pPr>
      <w:r>
        <w:rPr/>
        <w:t>Over the last two years SCE has built up about $3.6 billion undercollection in its regulatory accounts. This undercollection resulted from increases in energy procurement costs. As the example below demonstrates, direct access customers contributed just as much to SCE’s procurement costs undercollection as bundled service customers.</w:t>
      </w:r>
    </w:p>
    <w:p>
      <w:pPr>
        <w:pStyle w:val="Normal"/>
        <w:ind w:firstLine="720" w:start="-720" w:end="-720"/>
        <w:rPr/>
      </w:pPr>
      <w:r>
        <w:rPr/>
      </w:r>
    </w:p>
    <w:p>
      <w:pPr>
        <w:pStyle w:val="Normal"/>
        <w:ind w:firstLine="720" w:start="-720" w:end="-720"/>
        <w:rPr/>
      </w:pPr>
      <w:r>
        <w:rPr/>
        <w:t>Consider a bundled service customer with 1000 kWh usage during a particular billing cycle and an average rate during that billing cycle of 10 c/kWh, resulting in a total bill of $100. Further assume that $40 of this amount is for recovery of non-generation costs. Thus, this customer contributed $60 to recovery of SCE’s procurement and uneconomic generation (transition) costs. While the price of energy SCE procured for this customer from various sources was below 6 c/kWh, the customer contributed positively to SCE’s recovery of its transition costs. When the price of energy rose above 6 c/kWh the customer did not contribute anything to recovery of transition costs and, in addition, SCE started accumulating its procurement cost undercollection. For instance, if SCE had to procure energy for this customer at 14 c/kWh, the customer contributed $80 [(14 c/kWh – 6 c/kWh) x 1000 kWh] to SCE’s procurement costs undercollection during the billing cycle.</w:t>
      </w:r>
    </w:p>
    <w:p>
      <w:pPr>
        <w:pStyle w:val="Normal"/>
        <w:ind w:firstLine="720" w:start="-720" w:end="-720"/>
        <w:rPr/>
      </w:pPr>
      <w:r>
        <w:rPr/>
      </w:r>
    </w:p>
    <w:p>
      <w:pPr>
        <w:pStyle w:val="Normal"/>
        <w:ind w:firstLine="720" w:start="-720" w:end="-720"/>
        <w:rPr/>
      </w:pPr>
      <w:r>
        <w:rPr/>
        <w:t xml:space="preserve">Now, consider a similarly situated direct access customer. This customer’s bill was first calculated like a bundled service customer ($100) then the customer was credited with $140 which SCE avoided by not having to buy energy for that customer at 14 c/kWh, resulting in a negative (credit) bill of $40. Because SCE must also recover its non-generation (e.g., transmission and distribution) costs from this customer in the same manner as the bundled service customer, SCE ended up having a generation-related undercollection of $80 from this direct access customer. </w:t>
      </w:r>
    </w:p>
    <w:p>
      <w:pPr>
        <w:pStyle w:val="Normal"/>
        <w:ind w:firstLine="720" w:start="-720" w:end="-720"/>
        <w:rPr/>
      </w:pPr>
      <w:r>
        <w:rPr/>
      </w:r>
    </w:p>
    <w:p>
      <w:pPr>
        <w:pStyle w:val="Normal"/>
        <w:ind w:firstLine="720" w:start="-720" w:end="-720"/>
        <w:rPr/>
      </w:pPr>
      <w:r>
        <w:rPr/>
        <w:t>Given that direct access customers will have contributed the same way to recovery of SCE’s transition costs or the build-up of procurement costs undercollection ($3.6 billion as of August 31, 2001) if they are paid for all their past credit or negative bills, SCE proposes the following simple approach to settling all direct access credit claims:</w:t>
      </w:r>
    </w:p>
    <w:p>
      <w:pPr>
        <w:pStyle w:val="Normal"/>
        <w:ind w:firstLine="720" w:start="-720" w:end="-720"/>
        <w:rPr/>
      </w:pPr>
      <w:r>
        <w:rPr/>
      </w:r>
    </w:p>
    <w:p>
      <w:pPr>
        <w:pStyle w:val="Normal"/>
        <w:numPr>
          <w:ilvl w:val="0"/>
          <w:numId w:val="1"/>
        </w:numPr>
        <w:ind w:hanging="360" w:start="720" w:end="-720"/>
        <w:rPr/>
      </w:pPr>
      <w:r>
        <w:rPr/>
        <w:t>SCE agrees to pay</w:t>
      </w:r>
      <w:r>
        <w:rPr>
          <w:rStyle w:val="FootnoteCharacters"/>
          <w:rStyle w:val="FootnoteReference"/>
        </w:rPr>
        <w:footnoteReference w:id="2"/>
      </w:r>
      <w:r>
        <w:rPr/>
        <w:t xml:space="preserve"> all negative (credits) bills owed to direct access customers (or their ESPs) as of January 5, 2001. SCE also agrees to pay these customers any negative bills accrued during the remaining period of SCE’s participation in the PX markets between January 5 and January 18, 2001 based on the same methodology used prior to January 5, 2001.</w:t>
      </w:r>
    </w:p>
    <w:p>
      <w:pPr>
        <w:pStyle w:val="Normal"/>
        <w:numPr>
          <w:ilvl w:val="0"/>
          <w:numId w:val="1"/>
        </w:numPr>
        <w:ind w:hanging="360" w:start="720" w:end="-720"/>
        <w:rPr/>
      </w:pPr>
      <w:r>
        <w:rPr/>
        <w:t>SCE will also pay any negative bill (credits) resulting from crediting direct access customers with an amount based on SCE’s total energy procurement costs, including QF, DWR, URG, and ISO costs, after January 18, 2001 until June 3, 2001 when SCE moved to crediting direct access customers based on the generation rates of their tariffs. This would require approval by the Commission as the Commission never approved SCE’s Advice Letter 1514-E proposing this methodology after SCE ceased its participation in the PX markets</w:t>
      </w:r>
      <w:r>
        <w:rPr>
          <w:rStyle w:val="FootnoteCharacters"/>
          <w:rStyle w:val="FootnoteReference"/>
        </w:rPr>
        <w:footnoteReference w:id="3"/>
      </w:r>
      <w:r>
        <w:rPr/>
        <w:t xml:space="preserve">. In addition, SCE will withdraw Advice Letter 1529-E which proposed to rebill direct access customers by crediting them the generation rate of their tariffs back to January 19, 2001. </w:t>
      </w:r>
    </w:p>
    <w:p>
      <w:pPr>
        <w:pStyle w:val="Normal"/>
        <w:numPr>
          <w:ilvl w:val="0"/>
          <w:numId w:val="1"/>
        </w:numPr>
        <w:ind w:hanging="360" w:start="720" w:end="-720"/>
        <w:rPr/>
      </w:pPr>
      <w:r>
        <w:rPr/>
        <w:t xml:space="preserve">There have not been any negative bills after June 3, 2001 because crediting of direct access customers based on the generation rate of their otherwise applicable tariff, which includes the Commission-approved surcharges, cannot result in a negative bill. Bundled service customers also did not contribute any new undercollection during this period. </w:t>
      </w:r>
    </w:p>
    <w:p>
      <w:pPr>
        <w:pStyle w:val="Normal"/>
        <w:numPr>
          <w:ilvl w:val="0"/>
          <w:numId w:val="1"/>
        </w:numPr>
        <w:ind w:hanging="360" w:start="720" w:end="-720"/>
        <w:rPr/>
      </w:pPr>
      <w:r>
        <w:rPr/>
        <w:t>Starting January 2002, SCE will amortize the PROACT balance as of August 31, 2001 ($3.6 billion) over about two years based on the expectation that the PROACT balance will be recovered by the last quarter of 2003, and calculate a charge for direct access customers related to recovery of the PROACT balance</w:t>
      </w:r>
      <w:r>
        <w:rPr>
          <w:rStyle w:val="FootnoteCharacters"/>
          <w:rStyle w:val="FootnoteReference"/>
        </w:rPr>
        <w:footnoteReference w:id="4"/>
      </w:r>
      <w:r>
        <w:rPr/>
        <w:t>. It should be noted that since September 1, 2001, the direct access customers have contributed nothing to the recovery of the PROACT balance because they have been credited with the entire generation rate in their tariffs while bundled service customers have contributed to reducing the PROACT balance through the Surplus in their generation rate. This is the justification for recovering the balance as of August 31, 2001 from direct access customers and not the balance as of January 1, 2002.</w:t>
      </w:r>
    </w:p>
    <w:p>
      <w:pPr>
        <w:pStyle w:val="Normal"/>
        <w:numPr>
          <w:ilvl w:val="0"/>
          <w:numId w:val="1"/>
        </w:numPr>
        <w:ind w:hanging="360" w:start="720" w:end="-720"/>
        <w:rPr/>
      </w:pPr>
      <w:r>
        <w:rPr/>
        <w:t>Going forward, direct access customers will be credited with the generation rate of their otherwise applicable tariffs less this charge for recovery of the PROACT balance until the approximately two-year amortization period for the PROACT balance ends.</w:t>
      </w:r>
      <w:r>
        <w:rPr>
          <w:rStyle w:val="FootnoteCharacters"/>
          <w:rStyle w:val="FootnoteReference"/>
        </w:rPr>
        <w:footnoteReference w:id="5"/>
      </w:r>
      <w:r>
        <w:rPr/>
        <w:t xml:space="preserve"> </w:t>
      </w:r>
    </w:p>
    <w:p>
      <w:pPr>
        <w:pStyle w:val="Normal"/>
        <w:numPr>
          <w:ilvl w:val="0"/>
          <w:numId w:val="1"/>
        </w:numPr>
        <w:ind w:hanging="360" w:start="720" w:end="-720"/>
        <w:rPr/>
      </w:pPr>
      <w:r>
        <w:rPr/>
        <w:t xml:space="preserve">After the PROACT balance is fully recovered, direct access customers should be billed for SCE charges based on a bottoms-up approach.                </w:t>
      </w:r>
    </w:p>
    <w:p>
      <w:pPr>
        <w:pStyle w:val="Normal"/>
        <w:ind w:firstLine="720" w:start="-720" w:end="-720"/>
        <w:rPr/>
      </w:pPr>
      <w:r>
        <w:rPr/>
        <w:t xml:space="preserve"> </w:t>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SCE will make the actual payments after it has secured bridge financing to pay all of its outstanding debts.</w:t>
      </w:r>
    </w:p>
  </w:footnote>
  <w:footnote w:id="3">
    <w:p>
      <w:pPr>
        <w:pStyle w:val="FootnoteText"/>
        <w:rPr/>
      </w:pPr>
      <w:r>
        <w:rPr>
          <w:rStyle w:val="FootnoteCharacters"/>
        </w:rPr>
        <w:footnoteRef/>
      </w:r>
      <w:r>
        <w:rPr/>
        <w:t xml:space="preserve"> </w:t>
      </w:r>
      <w:r>
        <w:rPr/>
        <w:t xml:space="preserve">The Commission in D. 01-01-061 actually required SCE to withdraw this advice letter for reasons unrelated to the direct access credit issue.  </w:t>
      </w:r>
    </w:p>
  </w:footnote>
  <w:footnote w:id="4">
    <w:p>
      <w:pPr>
        <w:pStyle w:val="FootnoteText"/>
        <w:rPr/>
      </w:pPr>
      <w:r>
        <w:rPr>
          <w:rStyle w:val="FootnoteCharacters"/>
        </w:rPr>
        <w:footnoteRef/>
      </w:r>
      <w:r>
        <w:rPr/>
        <w:t xml:space="preserve"> </w:t>
      </w:r>
      <w:r>
        <w:rPr/>
        <w:t xml:space="preserve">To calculate a charge for direct access customers the amortization amount will be divided by kWhs SCE will distribute to all customers and not direct access or bundled service sales alone. </w:t>
      </w:r>
    </w:p>
  </w:footnote>
  <w:footnote w:id="5">
    <w:p>
      <w:pPr>
        <w:pStyle w:val="FootnoteText"/>
        <w:rPr/>
      </w:pPr>
      <w:r>
        <w:rPr>
          <w:rStyle w:val="FootnoteCharacters"/>
        </w:rPr>
        <w:footnoteRef/>
      </w:r>
      <w:r>
        <w:rPr/>
        <w:t xml:space="preserve"> </w:t>
      </w:r>
      <w:r>
        <w:rPr/>
        <w:t>There may also be another charge to direct access customers that will be subtracted from the generation rate before it is credited to the direct access customers related to “stranded” DWR contract costs. However, the determination of that charge is outside the scope of this proposal.</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firstLine="720" w:start="-720" w:end="-720"/>
    </w:pPr>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2001-10-30T19:41:00Z</dcterms:created>
  <dc:creator>Standard Configuration</dc:creator>
  <dc:description/>
  <dc:language>en-CA</dc:language>
  <cp:lastModifiedBy>Standard Configuration</cp:lastModifiedBy>
  <dcterms:modified xsi:type="dcterms:W3CDTF">2001-10-30T19:42:00Z</dcterms:modified>
  <cp:revision>3</cp:revision>
  <dc:subject/>
  <dc:title>Over the last two years SCE has built up about $3</dc:title>
</cp:coreProperties>
</file>