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40" w:type="dxa"/>
        <w:jc w:val="start"/>
        <w:tblInd w:w="-72" w:type="dxa"/>
        <w:tblLayout w:type="fixed"/>
        <w:tblCellMar>
          <w:top w:w="0" w:type="dxa"/>
          <w:start w:w="108" w:type="dxa"/>
          <w:bottom w:w="0" w:type="dxa"/>
          <w:end w:w="108" w:type="dxa"/>
        </w:tblCellMar>
      </w:tblPr>
      <w:tblGrid>
        <w:gridCol w:w="1800"/>
        <w:gridCol w:w="3060"/>
        <w:gridCol w:w="5580"/>
      </w:tblGrid>
      <w:tr>
        <w:trPr/>
        <w:tc>
          <w:tcPr>
            <w:tcW w:w="10440" w:type="dxa"/>
            <w:gridSpan w:val="3"/>
            <w:tcBorders/>
          </w:tcPr>
          <w:p>
            <w:pPr>
              <w:pStyle w:val="Heading1"/>
              <w:ind w:hanging="0" w:start="0"/>
              <w:rPr>
                <w:sz w:val="28"/>
              </w:rPr>
            </w:pPr>
            <w:r>
              <w:rPr>
                <w:sz w:val="28"/>
              </w:rPr>
              <w:t>ANDY SHACKOULS</w:t>
            </w:r>
          </w:p>
        </w:tc>
      </w:tr>
      <w:tr>
        <w:trPr/>
        <w:tc>
          <w:tcPr>
            <w:tcW w:w="4860" w:type="dxa"/>
            <w:gridSpan w:val="2"/>
            <w:tcBorders>
              <w:bottom w:val="single" w:sz="4" w:space="0" w:color="000000"/>
            </w:tcBorders>
          </w:tcPr>
          <w:p>
            <w:pPr>
              <w:pStyle w:val="Heading2"/>
              <w:ind w:hanging="0" w:start="0"/>
              <w:jc w:val="both"/>
              <w:rPr>
                <w:b w:val="false"/>
              </w:rPr>
            </w:pPr>
            <w:r>
              <w:rPr>
                <w:b w:val="false"/>
              </w:rPr>
              <w:t>1100 Bering Apt. #318</w:t>
            </w:r>
          </w:p>
          <w:p>
            <w:pPr>
              <w:pStyle w:val="Normal"/>
              <w:rPr>
                <w:sz w:val="22"/>
              </w:rPr>
            </w:pPr>
            <w:r>
              <w:rPr>
                <w:sz w:val="22"/>
              </w:rPr>
              <w:t>Houston, TX  77057</w:t>
            </w:r>
          </w:p>
        </w:tc>
        <w:tc>
          <w:tcPr>
            <w:tcW w:w="5580" w:type="dxa"/>
            <w:tcBorders>
              <w:bottom w:val="single" w:sz="4" w:space="0" w:color="000000"/>
            </w:tcBorders>
          </w:tcPr>
          <w:p>
            <w:pPr>
              <w:pStyle w:val="Heading2"/>
              <w:ind w:hanging="0" w:start="0"/>
              <w:jc w:val="end"/>
              <w:rPr>
                <w:b w:val="false"/>
              </w:rPr>
            </w:pPr>
            <w:r>
              <w:rPr>
                <w:b w:val="false"/>
              </w:rPr>
              <w:t>713-781-8502</w:t>
            </w:r>
          </w:p>
          <w:p>
            <w:pPr>
              <w:pStyle w:val="Normal"/>
              <w:jc w:val="end"/>
              <w:rPr>
                <w:sz w:val="22"/>
              </w:rPr>
            </w:pPr>
            <w:r>
              <w:rPr>
                <w:sz w:val="22"/>
              </w:rPr>
              <w:t>ashackouls@hotmail.com</w:t>
            </w:r>
          </w:p>
        </w:tc>
      </w:tr>
      <w:tr>
        <w:trPr/>
        <w:tc>
          <w:tcPr>
            <w:tcW w:w="10440" w:type="dxa"/>
            <w:gridSpan w:val="3"/>
            <w:tcBorders>
              <w:top w:val="single" w:sz="4" w:space="0" w:color="000000"/>
            </w:tcBorders>
          </w:tcPr>
          <w:p>
            <w:pPr>
              <w:pStyle w:val="Heading2"/>
              <w:snapToGrid w:val="false"/>
              <w:ind w:hanging="0" w:start="0"/>
              <w:jc w:val="both"/>
              <w:rPr>
                <w:b/>
                <w:sz w:val="24"/>
              </w:rPr>
            </w:pPr>
            <w:r>
              <w:rPr>
                <w:b/>
                <w:sz w:val="24"/>
              </w:rPr>
            </w:r>
          </w:p>
        </w:tc>
      </w:tr>
      <w:tr>
        <w:trPr/>
        <w:tc>
          <w:tcPr>
            <w:tcW w:w="1800" w:type="dxa"/>
            <w:vMerge w:val="restart"/>
            <w:tcBorders/>
          </w:tcPr>
          <w:p>
            <w:pPr>
              <w:pStyle w:val="Normal"/>
              <w:jc w:val="both"/>
              <w:rPr>
                <w:sz w:val="22"/>
              </w:rPr>
            </w:pPr>
            <w:r>
              <w:rPr>
                <w:sz w:val="22"/>
              </w:rPr>
              <w:t>EXPERIENCE</w:t>
            </w:r>
          </w:p>
          <w:p>
            <w:pPr>
              <w:pStyle w:val="Normal"/>
              <w:jc w:val="both"/>
              <w:rPr>
                <w:sz w:val="22"/>
              </w:rPr>
            </w:pPr>
            <w:r>
              <w:rPr>
                <w:sz w:val="20"/>
              </w:rPr>
              <w:t>April 01 – May 01</w:t>
            </w:r>
          </w:p>
        </w:tc>
        <w:tc>
          <w:tcPr>
            <w:tcW w:w="8640" w:type="dxa"/>
            <w:gridSpan w:val="2"/>
            <w:tcBorders/>
          </w:tcPr>
          <w:p>
            <w:pPr>
              <w:pStyle w:val="Heading2"/>
              <w:ind w:hanging="0" w:start="0"/>
              <w:jc w:val="both"/>
              <w:rPr/>
            </w:pPr>
            <w:r>
              <w:rPr>
                <w:sz w:val="24"/>
              </w:rPr>
              <w:t xml:space="preserve">Independent Contractor                                                                           </w:t>
            </w:r>
            <w:r>
              <w:rPr>
                <w:b w:val="false"/>
              </w:rPr>
              <w:t>Houston, TX</w:t>
            </w:r>
            <w:r>
              <w:rPr>
                <w:sz w:val="24"/>
              </w:rPr>
              <w:t xml:space="preserve">                                  </w:t>
            </w:r>
          </w:p>
          <w:p>
            <w:pPr>
              <w:pStyle w:val="Normal"/>
              <w:rPr>
                <w:sz w:val="22"/>
              </w:rPr>
            </w:pPr>
            <w:r>
              <w:rPr>
                <w:sz w:val="22"/>
              </w:rPr>
              <w:t>Global Enterprise Resource Planning (ERP) Consultant</w:t>
            </w:r>
          </w:p>
        </w:tc>
      </w:tr>
      <w:tr>
        <w:trPr>
          <w:trHeight w:val="1503" w:hRule="atLeast"/>
        </w:trPr>
        <w:tc>
          <w:tcPr>
            <w:tcW w:w="1800" w:type="dxa"/>
            <w:vMerge w:val="continue"/>
            <w:tcBorders/>
          </w:tcPr>
          <w:p>
            <w:pPr>
              <w:pStyle w:val="Normal"/>
              <w:snapToGrid w:val="false"/>
              <w:jc w:val="both"/>
              <w:rPr>
                <w:sz w:val="20"/>
              </w:rPr>
            </w:pPr>
            <w:r>
              <w:rPr>
                <w:sz w:val="20"/>
              </w:rPr>
            </w:r>
          </w:p>
        </w:tc>
        <w:tc>
          <w:tcPr>
            <w:tcW w:w="8640" w:type="dxa"/>
            <w:gridSpan w:val="2"/>
            <w:tcBorders/>
          </w:tcPr>
          <w:p>
            <w:pPr>
              <w:pStyle w:val="Heading2"/>
              <w:ind w:hanging="0" w:start="0"/>
              <w:jc w:val="both"/>
              <w:rPr>
                <w:b w:val="false"/>
                <w:i/>
                <w:i/>
              </w:rPr>
            </w:pPr>
            <w:r>
              <w:rPr>
                <w:b w:val="false"/>
                <w:i/>
              </w:rPr>
              <w:t>Technical and Professional Writing</w:t>
            </w:r>
          </w:p>
          <w:p>
            <w:pPr>
              <w:pStyle w:val="Normal"/>
              <w:numPr>
                <w:ilvl w:val="0"/>
                <w:numId w:val="2"/>
              </w:numPr>
              <w:jc w:val="both"/>
              <w:rPr>
                <w:sz w:val="22"/>
              </w:rPr>
            </w:pPr>
            <w:r>
              <w:rPr>
                <w:sz w:val="22"/>
              </w:rPr>
              <w:t>Created a comprehensive Request for Proposal (RFP) document for a large oil services &amp; discrete manufacturing company to select and implement a global ERP solution.</w:t>
            </w:r>
          </w:p>
          <w:p>
            <w:pPr>
              <w:pStyle w:val="Normal"/>
              <w:numPr>
                <w:ilvl w:val="0"/>
                <w:numId w:val="7"/>
              </w:numPr>
              <w:jc w:val="both"/>
              <w:rPr/>
            </w:pPr>
            <w:r>
              <w:rPr>
                <w:sz w:val="22"/>
              </w:rPr>
              <w:t>Gathered and organized an appendix to the RFP containing the required information to solicit detailed responses from ERP software vendors, systems integration partners, outsourcing vendors, and hardware platform providers.  The appendix included global locations and user metrics, business requirements, scripts, process decompositions, project scope for modules and global rollouts, interface requirements, and application diagrams.</w:t>
            </w:r>
          </w:p>
        </w:tc>
      </w:tr>
      <w:tr>
        <w:trPr>
          <w:trHeight w:val="117" w:hRule="atLeast"/>
        </w:trPr>
        <w:tc>
          <w:tcPr>
            <w:tcW w:w="1800" w:type="dxa"/>
            <w:tcBorders/>
          </w:tcPr>
          <w:p>
            <w:pPr>
              <w:pStyle w:val="Normal"/>
              <w:snapToGrid w:val="false"/>
              <w:jc w:val="both"/>
              <w:rPr>
                <w:b/>
                <w:sz w:val="22"/>
              </w:rPr>
            </w:pPr>
            <w:r>
              <w:rPr>
                <w:b/>
                <w:sz w:val="22"/>
              </w:rPr>
            </w:r>
          </w:p>
        </w:tc>
        <w:tc>
          <w:tcPr>
            <w:tcW w:w="8640" w:type="dxa"/>
            <w:gridSpan w:val="2"/>
            <w:tcBorders/>
          </w:tcPr>
          <w:p>
            <w:pPr>
              <w:pStyle w:val="Heading2"/>
              <w:snapToGrid w:val="false"/>
              <w:ind w:hanging="0" w:start="0"/>
              <w:jc w:val="both"/>
              <w:rPr>
                <w:sz w:val="24"/>
              </w:rPr>
            </w:pPr>
            <w:r>
              <w:rPr>
                <w:sz w:val="24"/>
              </w:rPr>
            </w:r>
          </w:p>
        </w:tc>
      </w:tr>
      <w:tr>
        <w:trPr/>
        <w:tc>
          <w:tcPr>
            <w:tcW w:w="1800" w:type="dxa"/>
            <w:tcBorders/>
          </w:tcPr>
          <w:p>
            <w:pPr>
              <w:pStyle w:val="Normal"/>
              <w:snapToGrid w:val="false"/>
              <w:jc w:val="both"/>
              <w:rPr>
                <w:b/>
                <w:sz w:val="22"/>
              </w:rPr>
            </w:pPr>
            <w:r>
              <w:rPr>
                <w:b/>
                <w:sz w:val="22"/>
              </w:rPr>
            </w:r>
          </w:p>
          <w:p>
            <w:pPr>
              <w:pStyle w:val="Normal"/>
              <w:jc w:val="both"/>
              <w:rPr>
                <w:sz w:val="20"/>
              </w:rPr>
            </w:pPr>
            <w:r>
              <w:rPr>
                <w:sz w:val="20"/>
              </w:rPr>
              <w:t>Oct 99 – Mar 01</w:t>
            </w:r>
          </w:p>
        </w:tc>
        <w:tc>
          <w:tcPr>
            <w:tcW w:w="8640" w:type="dxa"/>
            <w:gridSpan w:val="2"/>
            <w:tcBorders/>
          </w:tcPr>
          <w:p>
            <w:pPr>
              <w:pStyle w:val="Heading2"/>
              <w:ind w:hanging="0" w:start="0"/>
              <w:jc w:val="both"/>
              <w:rPr>
                <w:sz w:val="24"/>
              </w:rPr>
            </w:pPr>
            <w:r>
              <w:rPr>
                <w:sz w:val="24"/>
              </w:rPr>
              <w:t>OnSource Consulting, Inc.</w:t>
            </w:r>
            <w:r>
              <w:rPr>
                <w:b w:val="false"/>
                <w:sz w:val="24"/>
              </w:rPr>
              <w:t xml:space="preserve">                                                                        </w:t>
            </w:r>
            <w:r>
              <w:rPr>
                <w:b w:val="false"/>
              </w:rPr>
              <w:t>Houston, TX</w:t>
            </w:r>
          </w:p>
          <w:p>
            <w:pPr>
              <w:pStyle w:val="Normal"/>
              <w:jc w:val="both"/>
              <w:rPr>
                <w:sz w:val="22"/>
              </w:rPr>
            </w:pPr>
            <w:r>
              <w:rPr>
                <w:sz w:val="22"/>
              </w:rPr>
              <w:t>Process Development Consultant</w:t>
            </w:r>
          </w:p>
        </w:tc>
      </w:tr>
      <w:tr>
        <w:trPr/>
        <w:tc>
          <w:tcPr>
            <w:tcW w:w="1800" w:type="dxa"/>
            <w:tcBorders/>
          </w:tcPr>
          <w:p>
            <w:pPr>
              <w:pStyle w:val="Normal"/>
              <w:snapToGrid w:val="false"/>
              <w:jc w:val="both"/>
              <w:rPr>
                <w:sz w:val="20"/>
              </w:rPr>
            </w:pPr>
            <w:r>
              <w:rPr>
                <w:sz w:val="20"/>
              </w:rPr>
            </w:r>
          </w:p>
        </w:tc>
        <w:tc>
          <w:tcPr>
            <w:tcW w:w="8640" w:type="dxa"/>
            <w:gridSpan w:val="2"/>
            <w:tcBorders/>
          </w:tcPr>
          <w:p>
            <w:pPr>
              <w:pStyle w:val="Heading9"/>
              <w:ind w:hanging="0" w:start="0"/>
              <w:jc w:val="both"/>
              <w:rPr>
                <w:i/>
                <w:i/>
                <w:sz w:val="22"/>
                <w:u w:val="none"/>
              </w:rPr>
            </w:pPr>
            <w:r>
              <w:rPr>
                <w:i/>
                <w:sz w:val="22"/>
                <w:u w:val="none"/>
              </w:rPr>
              <w:t>Consulting Delivery</w:t>
            </w:r>
          </w:p>
          <w:p>
            <w:pPr>
              <w:pStyle w:val="Normal"/>
              <w:numPr>
                <w:ilvl w:val="0"/>
                <w:numId w:val="3"/>
              </w:numPr>
              <w:jc w:val="both"/>
              <w:rPr>
                <w:sz w:val="22"/>
              </w:rPr>
            </w:pPr>
            <w:r>
              <w:rPr>
                <w:sz w:val="22"/>
              </w:rPr>
              <w:t>Lead process development engagements for Fortune 1000 clients in IT problem management, IT functional organizational modeling, and IT change management.</w:t>
            </w:r>
          </w:p>
          <w:p>
            <w:pPr>
              <w:pStyle w:val="Normal"/>
              <w:numPr>
                <w:ilvl w:val="0"/>
                <w:numId w:val="2"/>
              </w:numPr>
              <w:jc w:val="both"/>
              <w:rPr>
                <w:sz w:val="22"/>
              </w:rPr>
            </w:pPr>
            <w:r>
              <w:rPr>
                <w:sz w:val="22"/>
              </w:rPr>
              <w:t>Created standard deliverable templates for use in all process development engagements.</w:t>
            </w:r>
          </w:p>
          <w:p>
            <w:pPr>
              <w:pStyle w:val="Normal"/>
              <w:numPr>
                <w:ilvl w:val="0"/>
                <w:numId w:val="2"/>
              </w:numPr>
              <w:jc w:val="both"/>
              <w:rPr>
                <w:sz w:val="22"/>
              </w:rPr>
            </w:pPr>
            <w:r>
              <w:rPr>
                <w:sz w:val="22"/>
              </w:rPr>
              <w:t>Constructed Visio diagrams for process re-engineering work flows.</w:t>
            </w:r>
          </w:p>
          <w:p>
            <w:pPr>
              <w:pStyle w:val="Normal"/>
              <w:numPr>
                <w:ilvl w:val="0"/>
                <w:numId w:val="2"/>
              </w:numPr>
              <w:jc w:val="both"/>
              <w:rPr>
                <w:sz w:val="22"/>
              </w:rPr>
            </w:pPr>
            <w:r>
              <w:rPr>
                <w:sz w:val="22"/>
              </w:rPr>
              <w:t>Developed detailed Request for Proposal documents to help clients facilitate vendor selection processes.</w:t>
            </w:r>
          </w:p>
        </w:tc>
      </w:tr>
      <w:tr>
        <w:trPr/>
        <w:tc>
          <w:tcPr>
            <w:tcW w:w="1800" w:type="dxa"/>
            <w:tcBorders/>
          </w:tcPr>
          <w:p>
            <w:pPr>
              <w:pStyle w:val="Normal"/>
              <w:snapToGrid w:val="false"/>
              <w:jc w:val="both"/>
              <w:rPr>
                <w:b/>
                <w:sz w:val="20"/>
              </w:rPr>
            </w:pPr>
            <w:r>
              <w:rPr>
                <w:b/>
                <w:sz w:val="20"/>
              </w:rPr>
            </w:r>
          </w:p>
        </w:tc>
        <w:tc>
          <w:tcPr>
            <w:tcW w:w="8640" w:type="dxa"/>
            <w:gridSpan w:val="2"/>
            <w:tcBorders/>
          </w:tcPr>
          <w:p>
            <w:pPr>
              <w:pStyle w:val="Heading9"/>
              <w:ind w:hanging="0" w:start="0"/>
              <w:jc w:val="both"/>
              <w:rPr>
                <w:i/>
                <w:i/>
                <w:sz w:val="22"/>
                <w:u w:val="none"/>
              </w:rPr>
            </w:pPr>
            <w:r>
              <w:rPr>
                <w:i/>
                <w:sz w:val="22"/>
                <w:u w:val="none"/>
              </w:rPr>
              <w:t>Business Development</w:t>
            </w:r>
          </w:p>
          <w:p>
            <w:pPr>
              <w:pStyle w:val="Normal"/>
              <w:numPr>
                <w:ilvl w:val="0"/>
                <w:numId w:val="6"/>
              </w:numPr>
              <w:jc w:val="both"/>
              <w:rPr>
                <w:sz w:val="22"/>
              </w:rPr>
            </w:pPr>
            <w:r>
              <w:rPr>
                <w:sz w:val="22"/>
              </w:rPr>
              <w:t>Actively participated in all consulting business development initiatives through proposal creation, RFP completion, and customer presentation to demonstrate company expertise in problem management.</w:t>
            </w:r>
          </w:p>
          <w:p>
            <w:pPr>
              <w:pStyle w:val="Normal"/>
              <w:numPr>
                <w:ilvl w:val="0"/>
                <w:numId w:val="6"/>
              </w:numPr>
              <w:jc w:val="both"/>
              <w:rPr>
                <w:sz w:val="22"/>
              </w:rPr>
            </w:pPr>
            <w:r>
              <w:rPr>
                <w:sz w:val="22"/>
              </w:rPr>
              <w:t>Authored a problem management/help desk outsourcing proposal that generated revenue to the firm totaling $72,000 a month.</w:t>
            </w:r>
          </w:p>
        </w:tc>
      </w:tr>
      <w:tr>
        <w:trPr/>
        <w:tc>
          <w:tcPr>
            <w:tcW w:w="1800" w:type="dxa"/>
            <w:tcBorders/>
          </w:tcPr>
          <w:p>
            <w:pPr>
              <w:pStyle w:val="Normal"/>
              <w:snapToGrid w:val="false"/>
              <w:jc w:val="both"/>
              <w:rPr>
                <w:sz w:val="20"/>
              </w:rPr>
            </w:pPr>
            <w:r>
              <w:rPr>
                <w:sz w:val="20"/>
              </w:rPr>
            </w:r>
          </w:p>
        </w:tc>
        <w:tc>
          <w:tcPr>
            <w:tcW w:w="8640" w:type="dxa"/>
            <w:gridSpan w:val="2"/>
            <w:tcBorders/>
          </w:tcPr>
          <w:p>
            <w:pPr>
              <w:pStyle w:val="Heading9"/>
              <w:ind w:hanging="0" w:start="0"/>
              <w:jc w:val="both"/>
              <w:rPr>
                <w:i/>
                <w:i/>
                <w:sz w:val="22"/>
                <w:u w:val="none"/>
              </w:rPr>
            </w:pPr>
            <w:r>
              <w:rPr>
                <w:i/>
                <w:sz w:val="22"/>
                <w:u w:val="none"/>
              </w:rPr>
              <w:t>Strategic Planning and Execution</w:t>
            </w:r>
          </w:p>
          <w:p>
            <w:pPr>
              <w:pStyle w:val="Normal"/>
              <w:numPr>
                <w:ilvl w:val="0"/>
                <w:numId w:val="4"/>
              </w:numPr>
              <w:jc w:val="both"/>
              <w:rPr>
                <w:sz w:val="22"/>
              </w:rPr>
            </w:pPr>
            <w:r>
              <w:rPr>
                <w:sz w:val="22"/>
              </w:rPr>
              <w:t>Chosen to write the OnSource Consulting, Inc. business plan for a 24-month horizon.</w:t>
            </w:r>
          </w:p>
          <w:p>
            <w:pPr>
              <w:pStyle w:val="Normal"/>
              <w:numPr>
                <w:ilvl w:val="0"/>
                <w:numId w:val="4"/>
              </w:numPr>
              <w:jc w:val="both"/>
              <w:rPr>
                <w:sz w:val="22"/>
              </w:rPr>
            </w:pPr>
            <w:r>
              <w:rPr>
                <w:sz w:val="22"/>
              </w:rPr>
              <w:t>Elected to the OnSource Leadership Council to focus on strategic planning initiatives and their tactical execution.</w:t>
            </w:r>
          </w:p>
          <w:p>
            <w:pPr>
              <w:pStyle w:val="Normal"/>
              <w:numPr>
                <w:ilvl w:val="0"/>
                <w:numId w:val="4"/>
              </w:numPr>
              <w:jc w:val="both"/>
              <w:rPr>
                <w:sz w:val="22"/>
              </w:rPr>
            </w:pPr>
            <w:r>
              <w:rPr>
                <w:sz w:val="22"/>
              </w:rPr>
              <w:t>Lead product development and refinement activities related to IT change management, IT problem management, and IT vendor selection facilitation.</w:t>
            </w:r>
          </w:p>
          <w:p>
            <w:pPr>
              <w:pStyle w:val="Normal"/>
              <w:numPr>
                <w:ilvl w:val="0"/>
                <w:numId w:val="4"/>
              </w:numPr>
              <w:jc w:val="both"/>
              <w:rPr>
                <w:sz w:val="22"/>
              </w:rPr>
            </w:pPr>
            <w:r>
              <w:rPr>
                <w:sz w:val="22"/>
              </w:rPr>
              <w:t>Developed financial models to analyze and forecast engagement revenues and expenses.</w:t>
            </w:r>
          </w:p>
          <w:p>
            <w:pPr>
              <w:pStyle w:val="Normal"/>
              <w:numPr>
                <w:ilvl w:val="0"/>
                <w:numId w:val="4"/>
              </w:numPr>
              <w:jc w:val="both"/>
              <w:rPr>
                <w:sz w:val="22"/>
              </w:rPr>
            </w:pPr>
            <w:r>
              <w:rPr>
                <w:sz w:val="22"/>
              </w:rPr>
              <w:t>Created cost analysis spreadsheets to justify return on investment for OnSource engagements.</w:t>
            </w:r>
          </w:p>
        </w:tc>
      </w:tr>
      <w:tr>
        <w:trPr>
          <w:trHeight w:val="225" w:hRule="atLeast"/>
        </w:trPr>
        <w:tc>
          <w:tcPr>
            <w:tcW w:w="1800" w:type="dxa"/>
            <w:tcBorders/>
          </w:tcPr>
          <w:p>
            <w:pPr>
              <w:pStyle w:val="Normal"/>
              <w:snapToGrid w:val="false"/>
              <w:jc w:val="both"/>
              <w:rPr>
                <w:b/>
                <w:sz w:val="12"/>
              </w:rPr>
            </w:pPr>
            <w:r>
              <w:rPr>
                <w:b/>
                <w:sz w:val="12"/>
              </w:rPr>
            </w:r>
          </w:p>
        </w:tc>
        <w:tc>
          <w:tcPr>
            <w:tcW w:w="8640" w:type="dxa"/>
            <w:gridSpan w:val="2"/>
            <w:tcBorders/>
          </w:tcPr>
          <w:p>
            <w:pPr>
              <w:pStyle w:val="Normal"/>
              <w:widowControl w:val="false"/>
              <w:tabs>
                <w:tab w:val="clear" w:pos="720"/>
                <w:tab w:val="left" w:pos="1728" w:leader="none"/>
              </w:tabs>
              <w:snapToGrid w:val="false"/>
              <w:ind w:start="612" w:end="0"/>
              <w:rPr>
                <w:sz w:val="12"/>
              </w:rPr>
            </w:pPr>
            <w:r>
              <w:rPr>
                <w:sz w:val="12"/>
              </w:rPr>
            </w:r>
          </w:p>
        </w:tc>
      </w:tr>
      <w:tr>
        <w:trPr/>
        <w:tc>
          <w:tcPr>
            <w:tcW w:w="1800" w:type="dxa"/>
            <w:tcBorders/>
          </w:tcPr>
          <w:p>
            <w:pPr>
              <w:pStyle w:val="Normal"/>
              <w:snapToGrid w:val="false"/>
              <w:jc w:val="both"/>
              <w:rPr>
                <w:sz w:val="20"/>
              </w:rPr>
            </w:pPr>
            <w:r>
              <w:rPr>
                <w:sz w:val="20"/>
              </w:rPr>
            </w:r>
          </w:p>
          <w:p>
            <w:pPr>
              <w:pStyle w:val="Normal"/>
              <w:jc w:val="both"/>
              <w:rPr>
                <w:sz w:val="20"/>
              </w:rPr>
            </w:pPr>
            <w:r>
              <w:rPr>
                <w:sz w:val="20"/>
              </w:rPr>
              <w:t>Jul 98 – Oct 99</w:t>
            </w:r>
          </w:p>
        </w:tc>
        <w:tc>
          <w:tcPr>
            <w:tcW w:w="8640" w:type="dxa"/>
            <w:gridSpan w:val="2"/>
            <w:tcBorders/>
          </w:tcPr>
          <w:p>
            <w:pPr>
              <w:pStyle w:val="Heading2"/>
              <w:ind w:hanging="0" w:start="0"/>
              <w:rPr/>
            </w:pPr>
            <w:r>
              <w:rPr>
                <w:sz w:val="24"/>
              </w:rPr>
              <w:t>Andersen Consulting LLP</w:t>
            </w:r>
            <w:r>
              <w:rPr>
                <w:b w:val="false"/>
              </w:rPr>
              <w:t xml:space="preserve">                                                                               Houston, TX</w:t>
            </w:r>
          </w:p>
          <w:p>
            <w:pPr>
              <w:pStyle w:val="Normal"/>
              <w:jc w:val="both"/>
              <w:rPr>
                <w:sz w:val="22"/>
              </w:rPr>
            </w:pPr>
            <w:r>
              <w:rPr>
                <w:sz w:val="22"/>
              </w:rPr>
              <w:t>Process Analyst (Bank of America/Nations Bank Merger – Southwest Transition Team)</w:t>
            </w:r>
          </w:p>
        </w:tc>
      </w:tr>
      <w:tr>
        <w:trPr/>
        <w:tc>
          <w:tcPr>
            <w:tcW w:w="1800" w:type="dxa"/>
            <w:tcBorders/>
          </w:tcPr>
          <w:p>
            <w:pPr>
              <w:pStyle w:val="Normal"/>
              <w:snapToGrid w:val="false"/>
              <w:rPr>
                <w:sz w:val="20"/>
              </w:rPr>
            </w:pPr>
            <w:r>
              <w:rPr>
                <w:sz w:val="20"/>
              </w:rPr>
            </w:r>
          </w:p>
        </w:tc>
        <w:tc>
          <w:tcPr>
            <w:tcW w:w="8640" w:type="dxa"/>
            <w:gridSpan w:val="2"/>
            <w:tcBorders/>
          </w:tcPr>
          <w:p>
            <w:pPr>
              <w:pStyle w:val="Heading4"/>
              <w:ind w:hanging="0" w:start="0"/>
              <w:rPr/>
            </w:pPr>
            <w:r>
              <w:rPr/>
              <w:t>Transition/Conversion Consulting Delivery</w:t>
            </w:r>
          </w:p>
          <w:p>
            <w:pPr>
              <w:pStyle w:val="Normal"/>
              <w:numPr>
                <w:ilvl w:val="0"/>
                <w:numId w:val="4"/>
              </w:numPr>
              <w:jc w:val="both"/>
              <w:rPr>
                <w:sz w:val="22"/>
              </w:rPr>
            </w:pPr>
            <w:r>
              <w:rPr>
                <w:sz w:val="22"/>
              </w:rPr>
              <w:t>Facilitated report mapping requirements between the two institutions.</w:t>
            </w:r>
          </w:p>
          <w:p>
            <w:pPr>
              <w:pStyle w:val="Normal"/>
              <w:numPr>
                <w:ilvl w:val="0"/>
                <w:numId w:val="4"/>
              </w:numPr>
              <w:jc w:val="both"/>
              <w:rPr>
                <w:sz w:val="22"/>
              </w:rPr>
            </w:pPr>
            <w:r>
              <w:rPr>
                <w:sz w:val="22"/>
              </w:rPr>
              <w:t>Acted as the security access lead for the commercial support centers.</w:t>
            </w:r>
          </w:p>
          <w:p>
            <w:pPr>
              <w:pStyle w:val="Normal"/>
              <w:numPr>
                <w:ilvl w:val="0"/>
                <w:numId w:val="4"/>
              </w:numPr>
              <w:jc w:val="both"/>
              <w:rPr>
                <w:sz w:val="22"/>
              </w:rPr>
            </w:pPr>
            <w:r>
              <w:rPr>
                <w:sz w:val="22"/>
              </w:rPr>
              <w:t>Developed test scripts, test plans, and training schedules for end users of the legacy commercial lending system being converted.</w:t>
            </w:r>
          </w:p>
          <w:p>
            <w:pPr>
              <w:pStyle w:val="Normal"/>
              <w:numPr>
                <w:ilvl w:val="0"/>
                <w:numId w:val="4"/>
              </w:numPr>
              <w:jc w:val="both"/>
              <w:rPr>
                <w:sz w:val="22"/>
              </w:rPr>
            </w:pPr>
            <w:r>
              <w:rPr>
                <w:sz w:val="22"/>
              </w:rPr>
              <w:t>Conducted systems integration testing and user acceptance testing of the new commercial lending system in a staged environment.</w:t>
            </w:r>
          </w:p>
          <w:p>
            <w:pPr>
              <w:pStyle w:val="Normal"/>
              <w:numPr>
                <w:ilvl w:val="0"/>
                <w:numId w:val="4"/>
              </w:numPr>
              <w:jc w:val="both"/>
              <w:rPr>
                <w:sz w:val="22"/>
              </w:rPr>
            </w:pPr>
            <w:r>
              <w:rPr>
                <w:sz w:val="22"/>
              </w:rPr>
              <w:t>Verified and validated the converted systems in production after implementation.</w:t>
            </w:r>
          </w:p>
          <w:p>
            <w:pPr>
              <w:pStyle w:val="Normal"/>
              <w:numPr>
                <w:ilvl w:val="0"/>
                <w:numId w:val="4"/>
              </w:numPr>
              <w:jc w:val="both"/>
              <w:rPr>
                <w:sz w:val="22"/>
              </w:rPr>
            </w:pPr>
            <w:r>
              <w:rPr>
                <w:sz w:val="22"/>
              </w:rPr>
              <w:t>Provided technical support for end users during the testing and implementation phases of the engagement.</w:t>
            </w:r>
          </w:p>
        </w:tc>
      </w:tr>
      <w:tr>
        <w:trPr/>
        <w:tc>
          <w:tcPr>
            <w:tcW w:w="1800" w:type="dxa"/>
            <w:tcBorders/>
          </w:tcPr>
          <w:p>
            <w:pPr>
              <w:pStyle w:val="Normal"/>
              <w:snapToGrid w:val="false"/>
              <w:rPr>
                <w:sz w:val="20"/>
              </w:rPr>
            </w:pPr>
            <w:r>
              <w:rPr>
                <w:sz w:val="20"/>
              </w:rPr>
            </w:r>
          </w:p>
        </w:tc>
        <w:tc>
          <w:tcPr>
            <w:tcW w:w="8640" w:type="dxa"/>
            <w:gridSpan w:val="2"/>
            <w:tcBorders/>
          </w:tcPr>
          <w:p>
            <w:pPr>
              <w:pStyle w:val="Heading3"/>
              <w:widowControl/>
              <w:tabs>
                <w:tab w:val="clear" w:pos="1728"/>
                <w:tab w:val="clear" w:pos="1872"/>
              </w:tabs>
              <w:ind w:hanging="0" w:start="0"/>
              <w:jc w:val="both"/>
              <w:rPr/>
            </w:pPr>
            <w:r>
              <w:rPr/>
              <w:t>Training</w:t>
            </w:r>
          </w:p>
          <w:p>
            <w:pPr>
              <w:pStyle w:val="Normal"/>
              <w:numPr>
                <w:ilvl w:val="0"/>
                <w:numId w:val="4"/>
              </w:numPr>
              <w:jc w:val="both"/>
              <w:rPr>
                <w:sz w:val="22"/>
              </w:rPr>
            </w:pPr>
            <w:r>
              <w:rPr>
                <w:sz w:val="22"/>
              </w:rPr>
              <w:t>Completed several training courses including Client Server &amp; Graphical User Interface, Business Practices, Implementing Business Solutions, C Programming, and Consulting Delivery.</w:t>
            </w:r>
          </w:p>
        </w:tc>
      </w:tr>
      <w:tr>
        <w:trPr/>
        <w:tc>
          <w:tcPr>
            <w:tcW w:w="1800" w:type="dxa"/>
            <w:tcBorders/>
          </w:tcPr>
          <w:p>
            <w:pPr>
              <w:pStyle w:val="Normal"/>
              <w:snapToGrid w:val="false"/>
              <w:rPr>
                <w:sz w:val="12"/>
              </w:rPr>
            </w:pPr>
            <w:r>
              <w:rPr>
                <w:sz w:val="12"/>
              </w:rPr>
            </w:r>
          </w:p>
        </w:tc>
        <w:tc>
          <w:tcPr>
            <w:tcW w:w="8640" w:type="dxa"/>
            <w:gridSpan w:val="2"/>
            <w:tcBorders/>
          </w:tcPr>
          <w:p>
            <w:pPr>
              <w:pStyle w:val="Normal"/>
              <w:snapToGrid w:val="false"/>
              <w:rPr>
                <w:sz w:val="12"/>
              </w:rPr>
            </w:pPr>
            <w:r>
              <w:rPr>
                <w:sz w:val="12"/>
              </w:rPr>
            </w:r>
          </w:p>
        </w:tc>
      </w:tr>
      <w:tr>
        <w:trPr/>
        <w:tc>
          <w:tcPr>
            <w:tcW w:w="1800" w:type="dxa"/>
            <w:tcBorders/>
          </w:tcPr>
          <w:p>
            <w:pPr>
              <w:pStyle w:val="Normal"/>
              <w:snapToGrid w:val="false"/>
              <w:jc w:val="both"/>
              <w:rPr>
                <w:sz w:val="20"/>
              </w:rPr>
            </w:pPr>
            <w:r>
              <w:rPr>
                <w:sz w:val="20"/>
              </w:rPr>
            </w:r>
          </w:p>
          <w:p>
            <w:pPr>
              <w:pStyle w:val="Normal"/>
              <w:jc w:val="both"/>
              <w:rPr>
                <w:sz w:val="20"/>
              </w:rPr>
            </w:pPr>
            <w:r>
              <w:rPr>
                <w:sz w:val="20"/>
              </w:rPr>
              <w:t>Dec 96 – Jan 98</w:t>
            </w:r>
          </w:p>
        </w:tc>
        <w:tc>
          <w:tcPr>
            <w:tcW w:w="8640" w:type="dxa"/>
            <w:gridSpan w:val="2"/>
            <w:tcBorders/>
          </w:tcPr>
          <w:p>
            <w:pPr>
              <w:pStyle w:val="Normal"/>
              <w:jc w:val="both"/>
              <w:rPr/>
            </w:pPr>
            <w:r>
              <w:rPr>
                <w:b/>
              </w:rPr>
              <w:t xml:space="preserve">Merrill Lynch                                                                                        </w:t>
            </w:r>
            <w:r>
              <w:rPr>
                <w:sz w:val="22"/>
              </w:rPr>
              <w:t>Baton Rouge, LA</w:t>
            </w:r>
            <w:r>
              <w:rPr/>
              <w:t xml:space="preserve">  </w:t>
            </w:r>
          </w:p>
          <w:p>
            <w:pPr>
              <w:pStyle w:val="Normal"/>
              <w:jc w:val="both"/>
              <w:rPr>
                <w:sz w:val="22"/>
              </w:rPr>
            </w:pPr>
            <w:r>
              <w:rPr>
                <w:sz w:val="22"/>
              </w:rPr>
              <w:t>Financial Consultant Assistant</w:t>
            </w:r>
          </w:p>
        </w:tc>
      </w:tr>
      <w:tr>
        <w:trPr/>
        <w:tc>
          <w:tcPr>
            <w:tcW w:w="1800" w:type="dxa"/>
            <w:tcBorders/>
          </w:tcPr>
          <w:p>
            <w:pPr>
              <w:pStyle w:val="Normal"/>
              <w:snapToGrid w:val="false"/>
              <w:rPr>
                <w:sz w:val="22"/>
              </w:rPr>
            </w:pPr>
            <w:r>
              <w:rPr>
                <w:sz w:val="22"/>
              </w:rPr>
            </w:r>
          </w:p>
        </w:tc>
        <w:tc>
          <w:tcPr>
            <w:tcW w:w="8640" w:type="dxa"/>
            <w:gridSpan w:val="2"/>
            <w:tcBorders/>
          </w:tcPr>
          <w:p>
            <w:pPr>
              <w:pStyle w:val="Heading3"/>
              <w:ind w:hanging="0" w:start="0"/>
              <w:rPr/>
            </w:pPr>
            <w:r>
              <w:rPr/>
              <w:t>College Internship</w:t>
            </w:r>
          </w:p>
          <w:p>
            <w:pPr>
              <w:pStyle w:val="Normal"/>
              <w:widowControl w:val="false"/>
              <w:numPr>
                <w:ilvl w:val="0"/>
                <w:numId w:val="5"/>
              </w:numPr>
              <w:tabs>
                <w:tab w:val="clear" w:pos="720"/>
                <w:tab w:val="left" w:pos="1728" w:leader="none"/>
                <w:tab w:val="left" w:pos="1872" w:leader="none"/>
              </w:tabs>
              <w:rPr>
                <w:sz w:val="22"/>
              </w:rPr>
            </w:pPr>
            <w:r>
              <w:rPr>
                <w:sz w:val="22"/>
              </w:rPr>
              <w:t>Created and managed a client database for the Consultant.</w:t>
            </w:r>
          </w:p>
          <w:p>
            <w:pPr>
              <w:pStyle w:val="Normal"/>
              <w:widowControl w:val="false"/>
              <w:numPr>
                <w:ilvl w:val="0"/>
                <w:numId w:val="5"/>
              </w:numPr>
              <w:tabs>
                <w:tab w:val="clear" w:pos="720"/>
                <w:tab w:val="left" w:pos="1728" w:leader="none"/>
                <w:tab w:val="left" w:pos="1872" w:leader="none"/>
              </w:tabs>
              <w:rPr>
                <w:sz w:val="22"/>
              </w:rPr>
            </w:pPr>
            <w:r>
              <w:rPr>
                <w:sz w:val="22"/>
              </w:rPr>
              <w:t>Input transaction activity into the PRISM financial system.</w:t>
            </w:r>
          </w:p>
          <w:p>
            <w:pPr>
              <w:pStyle w:val="Normal"/>
              <w:widowControl w:val="false"/>
              <w:numPr>
                <w:ilvl w:val="0"/>
                <w:numId w:val="5"/>
              </w:numPr>
              <w:tabs>
                <w:tab w:val="clear" w:pos="720"/>
                <w:tab w:val="left" w:pos="1728" w:leader="none"/>
                <w:tab w:val="left" w:pos="1872" w:leader="none"/>
              </w:tabs>
              <w:rPr>
                <w:sz w:val="22"/>
              </w:rPr>
            </w:pPr>
            <w:r>
              <w:rPr>
                <w:sz w:val="22"/>
              </w:rPr>
              <w:t>Established automated schedules for checks to be distributed from retirement accounts.</w:t>
            </w:r>
          </w:p>
          <w:p>
            <w:pPr>
              <w:pStyle w:val="Normal"/>
              <w:widowControl w:val="false"/>
              <w:numPr>
                <w:ilvl w:val="0"/>
                <w:numId w:val="5"/>
              </w:numPr>
              <w:tabs>
                <w:tab w:val="clear" w:pos="720"/>
                <w:tab w:val="left" w:pos="1728" w:leader="none"/>
                <w:tab w:val="left" w:pos="1872" w:leader="none"/>
              </w:tabs>
              <w:rPr>
                <w:sz w:val="22"/>
              </w:rPr>
            </w:pPr>
            <w:r>
              <w:rPr>
                <w:sz w:val="22"/>
              </w:rPr>
              <w:t>Contributed to consultant's work team for the preparation of seminars.</w:t>
            </w:r>
          </w:p>
          <w:p>
            <w:pPr>
              <w:pStyle w:val="Normal"/>
              <w:widowControl w:val="false"/>
              <w:numPr>
                <w:ilvl w:val="0"/>
                <w:numId w:val="5"/>
              </w:numPr>
              <w:tabs>
                <w:tab w:val="clear" w:pos="720"/>
                <w:tab w:val="left" w:pos="1728" w:leader="none"/>
                <w:tab w:val="left" w:pos="1872" w:leader="none"/>
              </w:tabs>
              <w:rPr>
                <w:sz w:val="22"/>
              </w:rPr>
            </w:pPr>
            <w:r>
              <w:rPr>
                <w:sz w:val="22"/>
              </w:rPr>
              <w:t>Organized and distributed financial literature to the consultant's current and prospective clientele.</w:t>
            </w:r>
          </w:p>
        </w:tc>
      </w:tr>
      <w:tr>
        <w:trPr/>
        <w:tc>
          <w:tcPr>
            <w:tcW w:w="1800" w:type="dxa"/>
            <w:tcBorders/>
          </w:tcPr>
          <w:p>
            <w:pPr>
              <w:pStyle w:val="Normal"/>
              <w:snapToGrid w:val="false"/>
              <w:rPr>
                <w:sz w:val="22"/>
              </w:rPr>
            </w:pPr>
            <w:r>
              <w:rPr>
                <w:sz w:val="22"/>
              </w:rPr>
            </w:r>
          </w:p>
        </w:tc>
        <w:tc>
          <w:tcPr>
            <w:tcW w:w="8640" w:type="dxa"/>
            <w:gridSpan w:val="2"/>
            <w:tcBorders/>
          </w:tcPr>
          <w:p>
            <w:pPr>
              <w:pStyle w:val="Normal"/>
              <w:snapToGrid w:val="false"/>
              <w:jc w:val="both"/>
              <w:rPr>
                <w:sz w:val="22"/>
              </w:rPr>
            </w:pPr>
            <w:r>
              <w:rPr>
                <w:sz w:val="22"/>
              </w:rPr>
            </w:r>
          </w:p>
        </w:tc>
      </w:tr>
      <w:tr>
        <w:trPr/>
        <w:tc>
          <w:tcPr>
            <w:tcW w:w="1800" w:type="dxa"/>
            <w:tcBorders/>
          </w:tcPr>
          <w:p>
            <w:pPr>
              <w:pStyle w:val="Normal"/>
              <w:rPr>
                <w:sz w:val="22"/>
              </w:rPr>
            </w:pPr>
            <w:r>
              <w:rPr>
                <w:sz w:val="22"/>
              </w:rPr>
              <w:t>EDUCATION</w:t>
            </w:r>
          </w:p>
        </w:tc>
        <w:tc>
          <w:tcPr>
            <w:tcW w:w="8640" w:type="dxa"/>
            <w:gridSpan w:val="2"/>
            <w:tcBorders/>
          </w:tcPr>
          <w:p>
            <w:pPr>
              <w:pStyle w:val="Normal"/>
              <w:jc w:val="both"/>
              <w:rPr>
                <w:i/>
                <w:i/>
                <w:sz w:val="22"/>
              </w:rPr>
            </w:pPr>
            <w:r>
              <w:rPr>
                <w:b/>
                <w:sz w:val="22"/>
              </w:rPr>
              <w:t>Louisiana State University</w:t>
            </w:r>
            <w:r>
              <w:rPr>
                <w:sz w:val="22"/>
              </w:rPr>
              <w:t xml:space="preserve">                                                                            Baton Rouge, LA</w:t>
            </w:r>
          </w:p>
          <w:p>
            <w:pPr>
              <w:pStyle w:val="Normal"/>
              <w:jc w:val="both"/>
              <w:rPr>
                <w:sz w:val="22"/>
              </w:rPr>
            </w:pPr>
            <w:r>
              <w:rPr>
                <w:sz w:val="22"/>
              </w:rPr>
              <w:t>E. J. Ourso College of Business</w:t>
            </w:r>
          </w:p>
          <w:p>
            <w:pPr>
              <w:pStyle w:val="Normal"/>
              <w:jc w:val="both"/>
              <w:rPr>
                <w:sz w:val="22"/>
              </w:rPr>
            </w:pPr>
            <w:r>
              <w:rPr>
                <w:sz w:val="22"/>
              </w:rPr>
              <w:t>Bachelor of Science, Finance, May 1998</w:t>
            </w:r>
          </w:p>
        </w:tc>
      </w:tr>
      <w:tr>
        <w:trPr/>
        <w:tc>
          <w:tcPr>
            <w:tcW w:w="1800" w:type="dxa"/>
            <w:tcBorders/>
          </w:tcPr>
          <w:p>
            <w:pPr>
              <w:pStyle w:val="Normal"/>
              <w:snapToGrid w:val="false"/>
              <w:rPr>
                <w:sz w:val="22"/>
              </w:rPr>
            </w:pPr>
            <w:r>
              <w:rPr>
                <w:sz w:val="22"/>
              </w:rPr>
            </w:r>
          </w:p>
        </w:tc>
        <w:tc>
          <w:tcPr>
            <w:tcW w:w="8640" w:type="dxa"/>
            <w:gridSpan w:val="2"/>
            <w:tcBorders/>
          </w:tcPr>
          <w:p>
            <w:pPr>
              <w:pStyle w:val="Normal"/>
              <w:snapToGrid w:val="false"/>
              <w:jc w:val="both"/>
              <w:rPr>
                <w:sz w:val="22"/>
              </w:rPr>
            </w:pPr>
            <w:r>
              <w:rPr>
                <w:sz w:val="22"/>
              </w:rPr>
            </w:r>
          </w:p>
        </w:tc>
      </w:tr>
      <w:tr>
        <w:trPr/>
        <w:tc>
          <w:tcPr>
            <w:tcW w:w="1800" w:type="dxa"/>
            <w:tcBorders/>
          </w:tcPr>
          <w:p>
            <w:pPr>
              <w:pStyle w:val="Normal"/>
              <w:rPr>
                <w:sz w:val="22"/>
              </w:rPr>
            </w:pPr>
            <w:r>
              <w:rPr>
                <w:sz w:val="22"/>
              </w:rPr>
              <w:t>ACTIVITIES</w:t>
            </w:r>
          </w:p>
        </w:tc>
        <w:tc>
          <w:tcPr>
            <w:tcW w:w="8640" w:type="dxa"/>
            <w:gridSpan w:val="2"/>
            <w:tcBorders/>
          </w:tcPr>
          <w:p>
            <w:pPr>
              <w:pStyle w:val="Normal"/>
              <w:numPr>
                <w:ilvl w:val="0"/>
                <w:numId w:val="8"/>
              </w:numPr>
              <w:rPr>
                <w:sz w:val="22"/>
              </w:rPr>
            </w:pPr>
            <w:r>
              <w:rPr>
                <w:sz w:val="22"/>
              </w:rPr>
              <w:t>Leukemia Foundation Marathon Fundraiser</w:t>
            </w:r>
          </w:p>
          <w:p>
            <w:pPr>
              <w:pStyle w:val="Normal"/>
              <w:numPr>
                <w:ilvl w:val="0"/>
                <w:numId w:val="8"/>
              </w:numPr>
              <w:rPr>
                <w:sz w:val="22"/>
              </w:rPr>
            </w:pPr>
            <w:r>
              <w:rPr>
                <w:sz w:val="22"/>
              </w:rPr>
              <w:t>Habitat for Humanity</w:t>
            </w:r>
          </w:p>
          <w:p>
            <w:pPr>
              <w:pStyle w:val="Normal"/>
              <w:numPr>
                <w:ilvl w:val="0"/>
                <w:numId w:val="8"/>
              </w:numPr>
              <w:rPr>
                <w:sz w:val="22"/>
              </w:rPr>
            </w:pPr>
            <w:r>
              <w:rPr>
                <w:sz w:val="22"/>
              </w:rPr>
              <w:t xml:space="preserve">LSU Alumni Association (Houston Chapter) </w:t>
            </w:r>
          </w:p>
          <w:p>
            <w:pPr>
              <w:pStyle w:val="Normal"/>
              <w:numPr>
                <w:ilvl w:val="0"/>
                <w:numId w:val="8"/>
              </w:numPr>
              <w:rPr>
                <w:sz w:val="22"/>
              </w:rPr>
            </w:pPr>
            <w:r>
              <w:rPr>
                <w:sz w:val="22"/>
              </w:rPr>
              <w:t>LSU Tiger Athletic Foundation</w:t>
            </w:r>
          </w:p>
          <w:p>
            <w:pPr>
              <w:pStyle w:val="Normal"/>
              <w:numPr>
                <w:ilvl w:val="0"/>
                <w:numId w:val="8"/>
              </w:numPr>
              <w:rPr>
                <w:sz w:val="22"/>
              </w:rPr>
            </w:pPr>
            <w:r>
              <w:rPr>
                <w:sz w:val="22"/>
              </w:rPr>
              <w:t>Houston Sports Softball League</w:t>
            </w:r>
          </w:p>
        </w:tc>
      </w:tr>
    </w:tbl>
    <w:p>
      <w:pPr>
        <w:pStyle w:val="Normal"/>
        <w:rPr>
          <w:sz w:val="4"/>
        </w:rPr>
      </w:pPr>
      <w:r>
        <w:rPr>
          <w:sz w:val="4"/>
        </w:rPr>
      </w:r>
    </w:p>
    <w:sectPr>
      <w:type w:val="nextPage"/>
      <w:pgSz w:w="12240" w:h="15840"/>
      <w:pgMar w:left="1080" w:right="1080" w:gutter="0" w:header="0" w:top="720" w:footer="0" w:bottom="66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sz w:val="22"/>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sz w:val="22"/>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sz w:val="22"/>
    </w:rPr>
  </w:style>
  <w:style w:type="paragraph" w:styleId="Heading3">
    <w:name w:val="heading 3"/>
    <w:basedOn w:val="Normal"/>
    <w:next w:val="Normal"/>
    <w:qFormat/>
    <w:pPr>
      <w:keepNext w:val="true"/>
      <w:widowControl w:val="false"/>
      <w:numPr>
        <w:ilvl w:val="2"/>
        <w:numId w:val="1"/>
      </w:numPr>
      <w:tabs>
        <w:tab w:val="clear" w:pos="720"/>
        <w:tab w:val="left" w:pos="1728" w:leader="none"/>
        <w:tab w:val="left" w:pos="1872" w:leader="none"/>
      </w:tabs>
      <w:outlineLvl w:val="2"/>
    </w:pPr>
    <w:rPr>
      <w:i/>
      <w:iCs/>
      <w:sz w:val="22"/>
    </w:rPr>
  </w:style>
  <w:style w:type="paragraph" w:styleId="Heading4">
    <w:name w:val="heading 4"/>
    <w:basedOn w:val="Normal"/>
    <w:next w:val="Normal"/>
    <w:qFormat/>
    <w:pPr>
      <w:keepNext w:val="true"/>
      <w:numPr>
        <w:ilvl w:val="3"/>
        <w:numId w:val="1"/>
      </w:numPr>
      <w:jc w:val="both"/>
      <w:outlineLvl w:val="3"/>
    </w:pPr>
    <w:rPr>
      <w:i/>
      <w:iCs/>
      <w:sz w:val="22"/>
    </w:rPr>
  </w:style>
  <w:style w:type="paragraph" w:styleId="Heading9">
    <w:name w:val="heading 9"/>
    <w:basedOn w:val="Normal"/>
    <w:next w:val="Normal"/>
    <w:qFormat/>
    <w:pPr>
      <w:keepNext w:val="true"/>
      <w:numPr>
        <w:ilvl w:val="8"/>
        <w:numId w:val="1"/>
      </w:numPr>
      <w:outlineLvl w:val="8"/>
    </w:pPr>
    <w:rPr>
      <w:szCs w:val="20"/>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color w:val="auto"/>
      <w:sz w:val="20"/>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sz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sz w:val="22"/>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sz w:val="22"/>
    </w:rPr>
  </w:style>
  <w:style w:type="character" w:styleId="WW8Num21z1">
    <w:name w:val="WW8Num21z1"/>
    <w:qFormat/>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1z4">
    <w:name w:val="WW8Num21z4"/>
    <w:qFormat/>
    <w:rPr>
      <w:rFonts w:ascii="Courier New" w:hAnsi="Courier New" w:cs="Courier New"/>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Symbol" w:hAnsi="Symbol" w:cs="Symbol"/>
      <w:sz w:val="16"/>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Symbol" w:hAnsi="Symbol" w:cs="Symbol"/>
      <w:sz w:val="16"/>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Symbol" w:hAnsi="Symbol" w:cs="Symbol"/>
      <w:color w:val="auto"/>
      <w:sz w:val="20"/>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6z0">
    <w:name w:val="WW8Num36z0"/>
    <w:qFormat/>
    <w:rPr>
      <w:rFonts w:ascii="Wingdings" w:hAnsi="Wingdings" w:cs="Wingdings"/>
      <w:sz w:val="22"/>
    </w:rPr>
  </w:style>
  <w:style w:type="character" w:styleId="WW8Num36z1">
    <w:name w:val="WW8Num36z1"/>
    <w:qFormat/>
    <w:rPr>
      <w:rFonts w:ascii="Wingdings" w:hAnsi="Wingdings" w:cs="Wingdings"/>
    </w:rPr>
  </w:style>
  <w:style w:type="character" w:styleId="WW8Num36z3">
    <w:name w:val="WW8Num36z3"/>
    <w:qFormat/>
    <w:rPr>
      <w:rFonts w:ascii="Symbol" w:hAnsi="Symbol" w:cs="Symbol"/>
    </w:rPr>
  </w:style>
  <w:style w:type="character" w:styleId="WW8Num36z4">
    <w:name w:val="WW8Num36z4"/>
    <w:qFormat/>
    <w:rPr>
      <w:rFonts w:ascii="Courier New" w:hAnsi="Courier New" w:cs="Courier New"/>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rFonts w:ascii="Symbol" w:hAnsi="Symbol" w:cs="Symbol"/>
      <w:color w:val="000000"/>
      <w:sz w:val="2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2001-06-04T22:43:00Z</dcterms:created>
  <dc:creator>Preferred Customer</dc:creator>
  <dc:description/>
  <dc:language>en-CA</dc:language>
  <cp:lastModifiedBy>Burlington Resources, Inc.</cp:lastModifiedBy>
  <cp:lastPrinted>2001-06-04T20:11:00Z</cp:lastPrinted>
  <dcterms:modified xsi:type="dcterms:W3CDTF">2001-06-04T22:43:00Z</dcterms:modified>
  <cp:revision>3</cp:revision>
  <dc:subject/>
  <dc:title>STEPHEN W</dc:title>
</cp:coreProperties>
</file>