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i/>
          <w:i/>
          <w:iCs/>
        </w:rPr>
      </w:pPr>
      <w:r>
        <w:rPr>
          <w:b/>
          <w:bCs/>
          <w:i/>
          <w:iCs/>
        </w:rPr>
        <w:t xml:space="preserve">Certified Affidavit Verification Process Administered by the PUC:  </w:t>
      </w:r>
    </w:p>
    <w:p>
      <w:pPr>
        <w:pStyle w:val="Normal"/>
        <w:numPr>
          <w:ilvl w:val="0"/>
          <w:numId w:val="6"/>
        </w:numPr>
        <w:tabs>
          <w:tab w:val="clear" w:pos="720"/>
        </w:tabs>
        <w:ind w:hanging="360" w:start="360" w:end="0"/>
        <w:rPr/>
      </w:pPr>
      <w:r>
        <w:rPr/>
        <w:t>PUC staff would perform the verification, not the utility.</w:t>
      </w:r>
    </w:p>
    <w:p>
      <w:pPr>
        <w:pStyle w:val="Normal"/>
        <w:numPr>
          <w:ilvl w:val="0"/>
          <w:numId w:val="6"/>
        </w:numPr>
        <w:tabs>
          <w:tab w:val="clear" w:pos="720"/>
        </w:tabs>
        <w:ind w:hanging="360" w:start="360" w:end="0"/>
        <w:rPr/>
      </w:pPr>
      <w:r>
        <w:rPr/>
        <w:t>There is neither the need nor the rationale for a DASR “cut-off” date and the criteria therefore should not include any such cut off.</w:t>
      </w:r>
    </w:p>
    <w:p>
      <w:pPr>
        <w:pStyle w:val="Normal"/>
        <w:numPr>
          <w:ilvl w:val="0"/>
          <w:numId w:val="6"/>
        </w:numPr>
        <w:tabs>
          <w:tab w:val="clear" w:pos="720"/>
        </w:tabs>
        <w:ind w:hanging="360" w:start="360" w:end="0"/>
        <w:rPr/>
      </w:pPr>
      <w:r>
        <w:rPr/>
        <w:t>The criteria are established to achieve four principal objectives:</w:t>
      </w:r>
    </w:p>
    <w:p>
      <w:pPr>
        <w:pStyle w:val="Normal"/>
        <w:numPr>
          <w:ilvl w:val="0"/>
          <w:numId w:val="2"/>
        </w:numPr>
        <w:tabs>
          <w:tab w:val="clear" w:pos="720"/>
        </w:tabs>
        <w:ind w:hanging="360" w:start="720" w:end="0"/>
        <w:rPr/>
      </w:pPr>
      <w:r>
        <w:rPr/>
        <w:t>enforce the Commission’s September 20</w:t>
      </w:r>
      <w:r>
        <w:rPr>
          <w:vertAlign w:val="superscript"/>
        </w:rPr>
        <w:t>th</w:t>
      </w:r>
      <w:r>
        <w:rPr/>
        <w:t xml:space="preserve"> suspension date;</w:t>
      </w:r>
    </w:p>
    <w:p>
      <w:pPr>
        <w:pStyle w:val="Normal"/>
        <w:numPr>
          <w:ilvl w:val="0"/>
          <w:numId w:val="2"/>
        </w:numPr>
        <w:tabs>
          <w:tab w:val="clear" w:pos="720"/>
        </w:tabs>
        <w:ind w:hanging="360" w:start="720" w:end="0"/>
        <w:rPr/>
      </w:pPr>
      <w:r>
        <w:rPr/>
        <w:t xml:space="preserve">provide the Commission with the information it needs to administer the suspension, without requiring customers to submit specific Direct Access contract language; and, </w:t>
      </w:r>
    </w:p>
    <w:p>
      <w:pPr>
        <w:pStyle w:val="Normal"/>
        <w:numPr>
          <w:ilvl w:val="0"/>
          <w:numId w:val="2"/>
        </w:numPr>
        <w:tabs>
          <w:tab w:val="clear" w:pos="720"/>
        </w:tabs>
        <w:ind w:hanging="360" w:start="720" w:end="0"/>
        <w:rPr/>
      </w:pPr>
      <w:r>
        <w:rPr/>
        <w:t>provide Direct Access customers with maximum flexibility to use the provisions of the contract entered  into with ESPs.</w:t>
      </w:r>
    </w:p>
    <w:p>
      <w:pPr>
        <w:pStyle w:val="Normal"/>
        <w:numPr>
          <w:ilvl w:val="0"/>
          <w:numId w:val="2"/>
        </w:numPr>
        <w:tabs>
          <w:tab w:val="clear" w:pos="720"/>
        </w:tabs>
        <w:ind w:hanging="360" w:start="720" w:end="0"/>
        <w:rPr/>
      </w:pPr>
      <w:r>
        <w:rPr/>
        <w:t>protect confidential commercial information.</w:t>
      </w:r>
    </w:p>
    <w:p>
      <w:pPr>
        <w:pStyle w:val="Normal"/>
        <w:numPr>
          <w:ilvl w:val="0"/>
          <w:numId w:val="6"/>
        </w:numPr>
        <w:tabs>
          <w:tab w:val="clear" w:pos="720"/>
        </w:tabs>
        <w:ind w:hanging="360" w:start="360" w:end="0"/>
        <w:rPr/>
      </w:pPr>
      <w:r>
        <w:rPr/>
        <w:t>PUC staff would validate DASR requests through use of a certified affidavit, prepared and certified by the ESP and attested to by an Independent Certified Public Accountant.</w:t>
      </w:r>
    </w:p>
    <w:p>
      <w:pPr>
        <w:pStyle w:val="Normal"/>
        <w:numPr>
          <w:ilvl w:val="0"/>
          <w:numId w:val="6"/>
        </w:numPr>
        <w:tabs>
          <w:tab w:val="clear" w:pos="720"/>
        </w:tabs>
        <w:ind w:hanging="360" w:start="360" w:end="0"/>
        <w:rPr/>
      </w:pPr>
      <w:r>
        <w:rPr/>
        <w:t>PUC staff would have 5 business days to verify the DASR.</w:t>
      </w:r>
    </w:p>
    <w:p>
      <w:pPr>
        <w:pStyle w:val="Normal"/>
        <w:numPr>
          <w:ilvl w:val="0"/>
          <w:numId w:val="6"/>
        </w:numPr>
        <w:tabs>
          <w:tab w:val="clear" w:pos="720"/>
        </w:tabs>
        <w:ind w:hanging="360" w:start="360" w:end="0"/>
        <w:rPr/>
      </w:pPr>
      <w:r>
        <w:rPr/>
        <w:t>Once PUC staff validates the DASR, it would pass the DASR on to the utility for processing.</w:t>
      </w:r>
    </w:p>
    <w:p>
      <w:pPr>
        <w:pStyle w:val="Normal"/>
        <w:numPr>
          <w:ilvl w:val="0"/>
          <w:numId w:val="6"/>
        </w:numPr>
        <w:tabs>
          <w:tab w:val="clear" w:pos="720"/>
        </w:tabs>
        <w:ind w:hanging="360" w:start="360" w:end="0"/>
        <w:rPr/>
      </w:pPr>
      <w:r>
        <w:rPr/>
        <w:t xml:space="preserve">The PUC would establish an expedited appeal process that customers and ESPs could use in case the PUC rejects the DASR. </w:t>
      </w:r>
    </w:p>
    <w:p>
      <w:pPr>
        <w:pStyle w:val="Normal"/>
        <w:rPr/>
      </w:pPr>
      <w:r>
        <w:rPr/>
      </w:r>
    </w:p>
    <w:p>
      <w:pPr>
        <w:pStyle w:val="Normal"/>
        <w:rPr>
          <w:b/>
          <w:bCs/>
          <w:i/>
          <w:i/>
          <w:iCs/>
        </w:rPr>
      </w:pPr>
      <w:r>
        <w:rPr>
          <w:b/>
          <w:bCs/>
          <w:i/>
          <w:iCs/>
        </w:rPr>
        <w:t>Verification/Validation Criteria [[Pulled principally from previous ARM work product.]]</w:t>
      </w:r>
    </w:p>
    <w:p>
      <w:pPr>
        <w:pStyle w:val="Normal"/>
        <w:numPr>
          <w:ilvl w:val="0"/>
          <w:numId w:val="4"/>
        </w:numPr>
        <w:tabs>
          <w:tab w:val="clear" w:pos="720"/>
        </w:tabs>
        <w:ind w:hanging="360" w:start="360" w:end="0"/>
        <w:rPr>
          <w:i/>
          <w:i/>
          <w:iCs/>
        </w:rPr>
      </w:pPr>
      <w:r>
        <w:rPr>
          <w:i/>
          <w:iCs/>
        </w:rPr>
        <w:t>ESP Lists</w:t>
      </w:r>
    </w:p>
    <w:p>
      <w:pPr>
        <w:pStyle w:val="Normal"/>
        <w:ind w:firstLine="360" w:end="0"/>
        <w:rPr/>
      </w:pPr>
      <w:r>
        <w:rPr/>
        <w:t xml:space="preserve">The affidavit verification process eliminates the need for ESPs to submit lists to the utilities providing the names of all customers with Direct Access contracts in place as of September 20, 2001. </w:t>
      </w:r>
    </w:p>
    <w:p>
      <w:pPr>
        <w:pStyle w:val="Normal"/>
        <w:ind w:firstLine="360" w:end="0"/>
        <w:rPr/>
      </w:pPr>
      <w:r>
        <w:rPr/>
        <w:t>ARM believes that it would be useful to provide the Commission with the aggregate number of megawatts represented by the contracts entered into before September 20, 2001.</w:t>
      </w:r>
    </w:p>
    <w:p>
      <w:pPr>
        <w:pStyle w:val="Normal"/>
        <w:ind w:firstLine="360" w:end="0"/>
        <w:rPr/>
      </w:pPr>
      <w:r>
        <w:rPr/>
        <w:t>ARM believes that ESPs could provide other information, short of providing contracts or specific contract language, that could constructively assist the Commission in administering the suspension.  For example, the criteria might also include information regarding whether the contract submitted for verification permits the customer to add additional facilities.</w:t>
      </w:r>
    </w:p>
    <w:p>
      <w:pPr>
        <w:pStyle w:val="Normal"/>
        <w:rPr/>
      </w:pPr>
      <w:r>
        <w:rPr/>
      </w:r>
    </w:p>
    <w:p>
      <w:pPr>
        <w:pStyle w:val="Normal"/>
        <w:numPr>
          <w:ilvl w:val="0"/>
          <w:numId w:val="4"/>
        </w:numPr>
        <w:tabs>
          <w:tab w:val="clear" w:pos="720"/>
        </w:tabs>
        <w:ind w:hanging="360" w:start="360" w:end="0"/>
        <w:rPr/>
      </w:pPr>
      <w:r>
        <w:rPr>
          <w:i/>
          <w:iCs/>
        </w:rPr>
        <w:t xml:space="preserve">ESP Eligibility to Submit Lists </w:t>
      </w:r>
    </w:p>
    <w:p>
      <w:pPr>
        <w:pStyle w:val="Normal"/>
        <w:numPr>
          <w:ilvl w:val="0"/>
          <w:numId w:val="3"/>
        </w:numPr>
        <w:tabs>
          <w:tab w:val="clear" w:pos="720"/>
        </w:tabs>
        <w:ind w:hanging="432" w:start="810" w:end="0"/>
        <w:rPr/>
      </w:pPr>
      <w:r>
        <w:rPr/>
        <w:t>Valid UDC-ESP service agreement as of 9/20</w:t>
      </w:r>
    </w:p>
    <w:p>
      <w:pPr>
        <w:pStyle w:val="Normal"/>
        <w:numPr>
          <w:ilvl w:val="0"/>
          <w:numId w:val="3"/>
        </w:numPr>
        <w:tabs>
          <w:tab w:val="clear" w:pos="720"/>
        </w:tabs>
        <w:ind w:hanging="432" w:start="810" w:end="0"/>
        <w:rPr/>
      </w:pPr>
      <w:r>
        <w:rPr/>
        <w:t>ESP serving small customers must have valid registration</w:t>
      </w:r>
    </w:p>
    <w:p>
      <w:pPr>
        <w:pStyle w:val="Normal"/>
        <w:numPr>
          <w:ilvl w:val="0"/>
          <w:numId w:val="3"/>
        </w:numPr>
        <w:tabs>
          <w:tab w:val="clear" w:pos="720"/>
        </w:tabs>
        <w:ind w:hanging="432" w:start="810" w:end="0"/>
        <w:rPr/>
      </w:pPr>
      <w:r>
        <w:rPr/>
        <w:t>Must comply with all regulatory requirements when servicing residential and small commercial</w:t>
      </w:r>
    </w:p>
    <w:p>
      <w:pPr>
        <w:pStyle w:val="Normal"/>
        <w:rPr>
          <w:bCs/>
        </w:rPr>
      </w:pPr>
      <w:r>
        <w:rPr>
          <w:bCs/>
        </w:rPr>
      </w:r>
    </w:p>
    <w:p>
      <w:pPr>
        <w:pStyle w:val="Normal"/>
        <w:numPr>
          <w:ilvl w:val="0"/>
          <w:numId w:val="5"/>
        </w:numPr>
        <w:tabs>
          <w:tab w:val="clear" w:pos="720"/>
        </w:tabs>
        <w:ind w:hanging="360" w:start="360" w:end="0"/>
        <w:rPr>
          <w:bCs/>
          <w:i/>
          <w:i/>
          <w:iCs/>
        </w:rPr>
      </w:pPr>
      <w:r>
        <w:rPr>
          <w:bCs/>
          <w:i/>
          <w:iCs/>
        </w:rPr>
        <w:t>ESP to ESP customer switches</w:t>
      </w:r>
    </w:p>
    <w:p>
      <w:pPr>
        <w:pStyle w:val="Normal"/>
        <w:rPr/>
      </w:pPr>
      <w:r>
        <w:rPr/>
        <w:t>Direct Access Customers may transfer DA service from one ESP to another if the Customers contract was signed on or before September 20 and is on the Direct Access Customer Master Register.</w:t>
      </w:r>
    </w:p>
    <w:p>
      <w:pPr>
        <w:pStyle w:val="Normal"/>
        <w:rPr/>
      </w:pPr>
      <w:r>
        <w:rPr/>
      </w:r>
    </w:p>
    <w:p>
      <w:pPr>
        <w:pStyle w:val="Normal"/>
        <w:numPr>
          <w:ilvl w:val="0"/>
          <w:numId w:val="4"/>
        </w:numPr>
        <w:tabs>
          <w:tab w:val="clear" w:pos="720"/>
        </w:tabs>
        <w:ind w:hanging="360" w:start="360" w:end="0"/>
        <w:rPr>
          <w:bCs/>
          <w:i/>
          <w:i/>
          <w:iCs/>
        </w:rPr>
      </w:pPr>
      <w:r>
        <w:rPr>
          <w:bCs/>
          <w:i/>
          <w:iCs/>
        </w:rPr>
        <w:t>Contract Assignments</w:t>
      </w:r>
    </w:p>
    <w:p>
      <w:pPr>
        <w:pStyle w:val="Normal"/>
        <w:ind w:firstLine="360" w:end="0"/>
        <w:rPr/>
      </w:pPr>
      <w:r>
        <w:rPr/>
        <w:t>ESPs may assign any portion of ESP customer contracts for Direct Access to another ESP as long as the contract was signed on or before 9/20/01.</w:t>
      </w:r>
    </w:p>
    <w:p>
      <w:pPr>
        <w:pStyle w:val="Normal"/>
        <w:rPr/>
      </w:pPr>
      <w:r>
        <w:rPr/>
      </w:r>
    </w:p>
    <w:p>
      <w:pPr>
        <w:pStyle w:val="Normal"/>
        <w:numPr>
          <w:ilvl w:val="0"/>
          <w:numId w:val="4"/>
        </w:numPr>
        <w:tabs>
          <w:tab w:val="clear" w:pos="720"/>
        </w:tabs>
        <w:ind w:hanging="360" w:start="360" w:end="0"/>
        <w:rPr>
          <w:i/>
          <w:i/>
          <w:iCs/>
        </w:rPr>
      </w:pPr>
      <w:r>
        <w:rPr>
          <w:i/>
          <w:iCs/>
        </w:rPr>
        <w:t>Seamless Moves Allowed</w:t>
      </w:r>
    </w:p>
    <w:p>
      <w:pPr>
        <w:pStyle w:val="Normal"/>
        <w:ind w:firstLine="360" w:end="0"/>
        <w:rPr/>
      </w:pPr>
      <w:r>
        <w:rPr/>
        <w:t>Seamless Moves will be processed under normal rule and processes existing in the service territory as of September 20, 2001.</w:t>
      </w:r>
    </w:p>
    <w:p>
      <w:pPr>
        <w:pStyle w:val="Normal"/>
        <w:rPr/>
      </w:pPr>
      <w:r>
        <w:rPr/>
      </w:r>
    </w:p>
    <w:p>
      <w:pPr>
        <w:pStyle w:val="Normal"/>
        <w:numPr>
          <w:ilvl w:val="0"/>
          <w:numId w:val="4"/>
        </w:numPr>
        <w:tabs>
          <w:tab w:val="clear" w:pos="720"/>
        </w:tabs>
        <w:ind w:hanging="360" w:start="360" w:end="0"/>
        <w:rPr>
          <w:bCs/>
          <w:i/>
          <w:i/>
          <w:iCs/>
        </w:rPr>
      </w:pPr>
      <w:r>
        <w:rPr>
          <w:bCs/>
          <w:i/>
          <w:iCs/>
        </w:rPr>
        <w:t>ESP Merger/Acquisitions</w:t>
      </w:r>
    </w:p>
    <w:p>
      <w:pPr>
        <w:pStyle w:val="Normal"/>
        <w:ind w:firstLine="360" w:end="0"/>
        <w:rPr/>
      </w:pPr>
      <w:r>
        <w:rPr/>
        <w:t>ESP may contract to another ESP as part of merger or acquisition any part of its business. ESP must comply with existing protocols and rules to properly make the changes with the UDC.</w:t>
      </w:r>
    </w:p>
    <w:p>
      <w:pPr>
        <w:pStyle w:val="Normal"/>
        <w:ind w:firstLine="360" w:end="0"/>
        <w:rPr/>
      </w:pPr>
      <w:r>
        <w:rPr/>
      </w:r>
    </w:p>
    <w:p>
      <w:pPr>
        <w:pStyle w:val="Normal"/>
        <w:numPr>
          <w:ilvl w:val="0"/>
          <w:numId w:val="4"/>
        </w:numPr>
        <w:tabs>
          <w:tab w:val="clear" w:pos="720"/>
        </w:tabs>
        <w:ind w:hanging="360" w:start="360" w:end="0"/>
        <w:rPr>
          <w:bCs/>
          <w:i/>
          <w:i/>
          <w:iCs/>
        </w:rPr>
      </w:pPr>
      <w:r>
        <w:rPr>
          <w:bCs/>
          <w:i/>
          <w:iCs/>
        </w:rPr>
        <w:t>Additional Sites</w:t>
      </w:r>
    </w:p>
    <w:p>
      <w:pPr>
        <w:pStyle w:val="Normal"/>
        <w:ind w:firstLine="360" w:end="0"/>
        <w:rPr/>
      </w:pPr>
      <w:r>
        <w:rPr/>
        <w:t>DA customers may add additional service sites under their existing contracts executed on or before September 20, 2001.</w:t>
      </w:r>
    </w:p>
    <w:p>
      <w:pPr>
        <w:pStyle w:val="Normal"/>
        <w:ind w:firstLine="360" w:end="0"/>
        <w:rPr/>
      </w:pPr>
      <w:r>
        <w:rPr/>
      </w:r>
    </w:p>
    <w:p>
      <w:pPr>
        <w:pStyle w:val="Normal"/>
        <w:numPr>
          <w:ilvl w:val="0"/>
          <w:numId w:val="4"/>
        </w:numPr>
        <w:tabs>
          <w:tab w:val="clear" w:pos="720"/>
        </w:tabs>
        <w:ind w:hanging="360" w:start="360" w:end="0"/>
        <w:rPr>
          <w:bCs/>
          <w:i/>
          <w:i/>
          <w:iCs/>
        </w:rPr>
      </w:pPr>
      <w:r>
        <w:rPr>
          <w:bCs/>
          <w:i/>
          <w:iCs/>
        </w:rPr>
        <w:t>New Customer to service area</w:t>
      </w:r>
    </w:p>
    <w:p>
      <w:pPr>
        <w:pStyle w:val="Normal"/>
        <w:ind w:firstLine="360" w:end="0"/>
        <w:rPr/>
      </w:pPr>
      <w:r>
        <w:rPr/>
        <w:t>ESPs will continue to process Direct Access service requests for Customers with no previous service in the UDC under the existing rules and procedures.</w:t>
      </w:r>
    </w:p>
    <w:p>
      <w:pPr>
        <w:pStyle w:val="Normal"/>
        <w:ind w:firstLine="360" w:end="0"/>
        <w:rPr>
          <w:bCs/>
        </w:rPr>
      </w:pPr>
      <w:r>
        <w:rPr>
          <w:bCs/>
        </w:rPr>
      </w:r>
    </w:p>
    <w:p>
      <w:pPr>
        <w:pStyle w:val="Normal"/>
        <w:numPr>
          <w:ilvl w:val="0"/>
          <w:numId w:val="4"/>
        </w:numPr>
        <w:tabs>
          <w:tab w:val="clear" w:pos="720"/>
        </w:tabs>
        <w:ind w:hanging="360" w:start="360" w:end="0"/>
        <w:rPr>
          <w:bCs/>
          <w:i/>
          <w:i/>
          <w:iCs/>
        </w:rPr>
      </w:pPr>
      <w:r>
        <w:rPr>
          <w:bCs/>
          <w:i/>
          <w:iCs/>
        </w:rPr>
        <w:t>Customer moves between service territories</w:t>
      </w:r>
    </w:p>
    <w:p>
      <w:pPr>
        <w:pStyle w:val="Normal"/>
        <w:ind w:firstLine="360" w:end="0"/>
        <w:rPr/>
      </w:pPr>
      <w:r>
        <w:rPr/>
        <w:t>Customers with contracts signed on or before September 20, 2001 shall be allowed Direct Access in the new service territory.</w:t>
      </w:r>
    </w:p>
    <w:p>
      <w:pPr>
        <w:pStyle w:val="Normal"/>
        <w:rPr/>
      </w:pPr>
      <w:r>
        <w:rPr/>
      </w:r>
    </w:p>
    <w:p>
      <w:pPr>
        <w:pStyle w:val="Normal"/>
        <w:numPr>
          <w:ilvl w:val="0"/>
          <w:numId w:val="4"/>
        </w:numPr>
        <w:tabs>
          <w:tab w:val="clear" w:pos="720"/>
        </w:tabs>
        <w:ind w:hanging="360" w:start="360" w:end="0"/>
        <w:rPr>
          <w:bCs/>
          <w:i/>
          <w:i/>
          <w:iCs/>
        </w:rPr>
      </w:pPr>
      <w:r>
        <w:rPr>
          <w:bCs/>
          <w:i/>
          <w:iCs/>
        </w:rPr>
        <w:t>Terminations and Renewals</w:t>
      </w:r>
    </w:p>
    <w:p>
      <w:pPr>
        <w:pStyle w:val="Normal"/>
        <w:ind w:firstLine="360" w:end="0"/>
        <w:rPr/>
      </w:pPr>
      <w:r>
        <w:rPr/>
        <w:t>Direct Access Customers have the right to sign up with the same or a new ESP upon termination of their existing contract.</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bullet"/>
      <w:lvlText w:val=""/>
      <w:lvlJc w:val="start"/>
      <w:pPr>
        <w:tabs>
          <w:tab w:val="num" w:pos="1872"/>
        </w:tabs>
        <w:ind w:start="1872" w:hanging="432"/>
      </w:pPr>
      <w:rPr>
        <w:rFonts w:ascii="Wingdings" w:hAnsi="Wingdings" w:cs="Wingdings"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rPr>
    </w:lvl>
  </w:abstractNum>
  <w:abstractNum w:abstractNumId="5">
    <w:lvl w:ilvl="0">
      <w:start w:val="1"/>
      <w:numFmt w:val="bullet"/>
      <w:lvlText w:val=""/>
      <w:lvlJc w:val="start"/>
      <w:pPr>
        <w:tabs>
          <w:tab w:val="num" w:pos="1800"/>
        </w:tabs>
        <w:ind w:start="1800" w:hanging="360"/>
      </w:pPr>
      <w:rPr>
        <w:rFonts w:ascii="Wingdings" w:hAnsi="Wingdings" w:cs="Wingdings" w:hint="default"/>
      </w:rPr>
    </w:lvl>
  </w:abstractNum>
  <w:abstractNum w:abstractNumId="6">
    <w:lvl w:ilvl="0">
      <w:start w:val="1"/>
      <w:numFmt w:val="bullet"/>
      <w:lvlText w:val=""/>
      <w:lvlJc w:val="start"/>
      <w:pPr>
        <w:tabs>
          <w:tab w:val="num" w:pos="1800"/>
        </w:tabs>
        <w:ind w:start="18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720" w:end="0"/>
      <w:outlineLvl w:val="1"/>
    </w:pPr>
    <w:rPr>
      <w:b/>
    </w:rPr>
  </w:style>
  <w:style w:type="paragraph" w:styleId="Heading3">
    <w:name w:val="heading 3"/>
    <w:basedOn w:val="Heading2"/>
    <w:next w:val="Normal"/>
    <w:qFormat/>
    <w:pPr>
      <w:keepLines/>
      <w:numPr>
        <w:ilvl w:val="2"/>
        <w:numId w:val="1"/>
      </w:numPr>
      <w:spacing w:lineRule="exact" w:line="480" w:before="240" w:after="120"/>
      <w:ind w:hanging="0" w:start="0" w:end="0"/>
      <w:outlineLvl w:val="2"/>
    </w:pPr>
    <w:rPr>
      <w:rFonts w:ascii="NewCenturySchlbk" w:hAnsi="NewCenturySchlbk" w:cs="NewCenturySchlbk"/>
      <w:u w:val="single"/>
    </w:rPr>
  </w:style>
  <w:style w:type="paragraph" w:styleId="Heading4">
    <w:name w:val="heading 4"/>
    <w:basedOn w:val="Heading2"/>
    <w:next w:val="Normal"/>
    <w:qFormat/>
    <w:pPr>
      <w:keepLines/>
      <w:numPr>
        <w:ilvl w:val="3"/>
        <w:numId w:val="1"/>
      </w:numPr>
      <w:spacing w:lineRule="exact" w:line="480" w:before="240" w:after="120"/>
      <w:ind w:hanging="0" w:start="0" w:end="0"/>
      <w:outlineLvl w:val="3"/>
    </w:pPr>
    <w:rPr>
      <w:rFonts w:ascii="NewCenturySchlbk" w:hAnsi="NewCenturySchlbk" w:cs="NewCenturySchlbk"/>
      <w:u w:val="single"/>
    </w:rPr>
  </w:style>
  <w:style w:type="paragraph" w:styleId="Heading5">
    <w:name w:val="heading 5"/>
    <w:basedOn w:val="Heading2"/>
    <w:next w:val="Normal"/>
    <w:qFormat/>
    <w:pPr>
      <w:keepLines/>
      <w:numPr>
        <w:ilvl w:val="4"/>
        <w:numId w:val="1"/>
      </w:numPr>
      <w:spacing w:lineRule="exact" w:line="480" w:before="240" w:after="120"/>
      <w:ind w:hanging="0" w:start="0" w:end="0"/>
      <w:outlineLvl w:val="4"/>
    </w:pPr>
    <w:rPr>
      <w:rFonts w:ascii="NewCenturySchlbk" w:hAnsi="NewCenturySchlbk" w:cs="NewCenturySchlbk"/>
      <w:u w:val="single"/>
    </w:rPr>
  </w:style>
  <w:style w:type="paragraph" w:styleId="Heading6">
    <w:name w:val="heading 6"/>
    <w:basedOn w:val="Heading2"/>
    <w:next w:val="Normal"/>
    <w:qFormat/>
    <w:pPr>
      <w:keepLines/>
      <w:numPr>
        <w:ilvl w:val="5"/>
        <w:numId w:val="1"/>
      </w:numPr>
      <w:spacing w:lineRule="exact" w:line="480" w:before="240" w:after="120"/>
      <w:ind w:hanging="0" w:start="0" w:end="0"/>
      <w:outlineLvl w:val="5"/>
    </w:pPr>
    <w:rPr>
      <w:rFonts w:ascii="NewCenturySchlbk" w:hAnsi="NewCenturySchlbk" w:cs="NewCenturySchlbk"/>
      <w:u w:val="single"/>
    </w:rPr>
  </w:style>
  <w:style w:type="paragraph" w:styleId="Heading7">
    <w:name w:val="heading 7"/>
    <w:basedOn w:val="Heading2"/>
    <w:next w:val="Normal"/>
    <w:qFormat/>
    <w:pPr>
      <w:keepLines/>
      <w:numPr>
        <w:ilvl w:val="6"/>
        <w:numId w:val="1"/>
      </w:numPr>
      <w:spacing w:lineRule="exact" w:line="480" w:before="240" w:after="120"/>
      <w:ind w:hanging="0" w:start="0" w:end="0"/>
      <w:outlineLvl w:val="6"/>
    </w:pPr>
    <w:rPr>
      <w:rFonts w:ascii="NewCenturySchlbk" w:hAnsi="NewCenturySchlbk" w:cs="NewCenturySchlbk"/>
      <w:u w:val="single"/>
    </w:rPr>
  </w:style>
  <w:style w:type="paragraph" w:styleId="Heading8">
    <w:name w:val="heading 8"/>
    <w:basedOn w:val="Heading2"/>
    <w:next w:val="Normal"/>
    <w:qFormat/>
    <w:pPr>
      <w:keepLines/>
      <w:numPr>
        <w:ilvl w:val="7"/>
        <w:numId w:val="1"/>
      </w:numPr>
      <w:spacing w:lineRule="exact" w:line="480" w:before="240" w:after="120"/>
      <w:ind w:hanging="0" w:start="0" w:end="0"/>
      <w:outlineLvl w:val="7"/>
    </w:pPr>
    <w:rPr>
      <w:rFonts w:ascii="NewCenturySchlbk" w:hAnsi="NewCenturySchlbk" w:cs="NewCenturySchlbk"/>
      <w:u w:val="single"/>
    </w:rPr>
  </w:style>
  <w:style w:type="paragraph" w:styleId="Heading9">
    <w:name w:val="heading 9"/>
    <w:basedOn w:val="Heading2"/>
    <w:next w:val="Normal"/>
    <w:qFormat/>
    <w:pPr>
      <w:keepLines/>
      <w:numPr>
        <w:ilvl w:val="8"/>
        <w:numId w:val="1"/>
      </w:numPr>
      <w:spacing w:lineRule="exact" w:line="480" w:before="240" w:after="120"/>
      <w:ind w:hanging="0" w:start="0" w:end="0"/>
      <w:outlineLvl w:val="8"/>
    </w:pPr>
    <w:rPr>
      <w:rFonts w:ascii="NewCenturySchlbk" w:hAnsi="NewCenturySchlbk" w:cs="NewCenturySchlbk"/>
      <w:u w:val="single"/>
    </w:rPr>
  </w:style>
  <w:style w:type="character" w:styleId="WW8Num1z0">
    <w:name w:val="WW8Num1z0"/>
    <w:qFormat/>
    <w:rPr>
      <w:color w:val="0000FF"/>
      <w:u w:val="non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720" w:end="0"/>
    </w:pPr>
    <w:rPr/>
  </w:style>
  <w:style w:type="paragraph" w:styleId="FootnoteText">
    <w:name w:val="footnote text"/>
    <w:basedOn w:val="Normal"/>
    <w:pPr/>
    <w:rPr>
      <w:sz w:val="20"/>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spacing w:lineRule="auto" w:line="480"/>
      <w:ind w:firstLine="720" w:start="1440" w:end="0"/>
    </w:pPr>
    <w:rPr>
      <w:b/>
    </w:rPr>
  </w:style>
  <w:style w:type="paragraph" w:styleId="titlebar">
    <w:name w:val="title bar"/>
    <w:basedOn w:val="Normal"/>
    <w:qFormat/>
    <w:pPr>
      <w:keepNext w:val="true"/>
      <w:suppressAutoHyphens w:val="true"/>
      <w:jc w:val="center"/>
    </w:pPr>
    <w:rPr>
      <w:rFonts w:ascii="Helvetica" w:hAnsi="Helvetica" w:cs="Helvetica"/>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IndexHeading">
    <w:name w:val="index heading"/>
    <w:basedOn w:val="Normal"/>
    <w:next w:val="Index1"/>
    <w:pPr/>
    <w:rPr>
      <w:rFonts w:ascii="NewCenturySchlbk" w:hAnsi="NewCenturySchlbk" w:cs="NewCenturySchlbk"/>
    </w:rPr>
  </w:style>
  <w:style w:type="paragraph" w:styleId="Index1">
    <w:name w:val="index 1"/>
    <w:basedOn w:val="Normal"/>
    <w:next w:val="Index2"/>
    <w:pPr>
      <w:keepNext w:val="true"/>
      <w:keepLines/>
      <w:spacing w:lineRule="atLeast" w:line="240" w:before="240" w:after="0"/>
      <w:jc w:val="center"/>
    </w:pPr>
    <w:rPr>
      <w:rFonts w:ascii="NewCenturySchlbk" w:hAnsi="NewCenturySchlbk" w:cs="NewCenturySchlbk"/>
      <w:b/>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 w:hAnsi="NewCenturySchlbk" w:cs="NewCenturySchlbk"/>
    </w:rPr>
  </w:style>
  <w:style w:type="paragraph" w:styleId="Heading1Text">
    <w:name w:val="Heading 1 Text"/>
    <w:basedOn w:val="Normal"/>
    <w:qFormat/>
    <w:pPr>
      <w:spacing w:lineRule="atLeast" w:line="480"/>
      <w:ind w:firstLine="720" w:start="0" w:end="0"/>
    </w:pPr>
    <w:rPr>
      <w:rFonts w:ascii="NewCenturySchlbk" w:hAnsi="NewCenturySchlbk" w:cs="NewCenturySchlbk"/>
    </w:rPr>
  </w:style>
  <w:style w:type="paragraph" w:styleId="Heading2Text">
    <w:name w:val="Heading 2 Text"/>
    <w:basedOn w:val="Heading1Text"/>
    <w:qFormat/>
    <w:pPr/>
    <w:rPr/>
  </w:style>
  <w:style w:type="paragraph" w:styleId="Heading4Text">
    <w:name w:val="Heading 4 Text"/>
    <w:basedOn w:val="Heading2Text"/>
    <w:qFormat/>
    <w:pPr>
      <w:ind w:firstLine="720" w:start="1440" w:end="0"/>
    </w:pPr>
    <w:rPr/>
  </w:style>
  <w:style w:type="paragraph" w:styleId="standard">
    <w:name w:val="standard"/>
    <w:basedOn w:val="Normal"/>
    <w:qFormat/>
    <w:pPr>
      <w:widowControl w:val="false"/>
      <w:overflowPunct w:val="false"/>
      <w:autoSpaceDE w:val="false"/>
      <w:spacing w:lineRule="auto" w:line="360"/>
      <w:ind w:firstLine="720" w:start="0" w:end="0"/>
      <w:textAlignment w:val="baseline"/>
    </w:pPr>
    <w:rPr>
      <w:rFonts w:ascii="Palatino;Book Antiqua" w:hAnsi="Palatino;Book Antiqua" w:cs="Palatino;Book Antiqua"/>
      <w:sz w:val="26"/>
    </w:rPr>
  </w:style>
  <w:style w:type="paragraph" w:styleId="bodytextcontinued">
    <w:name w:val="bodytextcontinued"/>
    <w:basedOn w:val="Normal"/>
    <w:qFormat/>
    <w:pPr>
      <w:spacing w:before="100" w:after="100"/>
    </w:pPr>
    <w:rPr>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2001-11-20T19:09:00Z</dcterms:created>
  <dc:creator>jdasovic</dc:creator>
  <dc:description/>
  <dc:language>en-CA</dc:language>
  <cp:lastModifiedBy>jdasovic</cp:lastModifiedBy>
  <cp:lastPrinted>2001-11-15T17:07:00Z</cp:lastPrinted>
  <dcterms:modified xsi:type="dcterms:W3CDTF">2001-11-21T18:00:00Z</dcterms:modified>
  <cp:revision>22</cp:revision>
  <dc:subject/>
  <dc:title>Certified Affidavit Verification Process Administered by the PUC:  </dc:title>
</cp:coreProperties>
</file>