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sz w:val="24"/>
        </w:rPr>
      </w:pPr>
      <w:r>
        <w:rPr>
          <w:b/>
          <w:sz w:val="24"/>
        </w:rPr>
        <w:t xml:space="preserve">Prepared Direct Testimony of </w:t>
      </w:r>
    </w:p>
    <w:p>
      <w:pPr>
        <w:pStyle w:val="Normal"/>
        <w:numPr>
          <w:ilvl w:val="0"/>
          <w:numId w:val="0"/>
        </w:numPr>
        <w:jc w:val="center"/>
        <w:outlineLvl w:val="0"/>
        <w:rPr>
          <w:b/>
          <w:sz w:val="24"/>
        </w:rPr>
      </w:pPr>
      <w:r>
        <w:rPr>
          <w:b/>
          <w:sz w:val="24"/>
        </w:rPr>
        <w:t>Jeffrey Dasovich on Behalf of Enron Corp. in Support of</w:t>
      </w:r>
    </w:p>
    <w:p>
      <w:pPr>
        <w:pStyle w:val="Normal"/>
        <w:numPr>
          <w:ilvl w:val="0"/>
          <w:numId w:val="0"/>
        </w:numPr>
        <w:jc w:val="center"/>
        <w:outlineLvl w:val="0"/>
        <w:rPr>
          <w:sz w:val="24"/>
        </w:rPr>
      </w:pPr>
      <w:r>
        <w:rPr>
          <w:b/>
          <w:sz w:val="24"/>
        </w:rPr>
        <w:t>the Comprehensive Settlement Agreement</w:t>
      </w:r>
    </w:p>
    <w:p>
      <w:pPr>
        <w:pStyle w:val="Normal"/>
        <w:jc w:val="center"/>
        <w:rPr>
          <w:sz w:val="24"/>
        </w:rPr>
      </w:pPr>
      <w:r>
        <w:rPr>
          <w:sz w:val="24"/>
        </w:rPr>
      </w:r>
    </w:p>
    <w:p>
      <w:pPr>
        <w:pStyle w:val="Normal"/>
        <w:jc w:val="center"/>
        <w:rPr>
          <w:b/>
          <w:sz w:val="24"/>
        </w:rPr>
      </w:pPr>
      <w:r>
        <w:rPr>
          <w:b/>
          <w:sz w:val="24"/>
        </w:rPr>
        <w:t>I.99-07-003</w:t>
      </w:r>
    </w:p>
    <w:p>
      <w:pPr>
        <w:pStyle w:val="Normal"/>
        <w:jc w:val="center"/>
        <w:rPr>
          <w:b/>
          <w:sz w:val="24"/>
        </w:rPr>
      </w:pPr>
      <w:r>
        <w:rPr>
          <w:b/>
          <w:sz w:val="24"/>
        </w:rPr>
      </w:r>
    </w:p>
    <w:p>
      <w:pPr>
        <w:pStyle w:val="Normal"/>
        <w:rPr>
          <w:b/>
          <w:i/>
          <w:i/>
          <w:sz w:val="24"/>
        </w:rPr>
      </w:pPr>
      <w:r>
        <w:rPr>
          <w:b/>
          <w:i/>
          <w:sz w:val="24"/>
        </w:rPr>
        <w:t>BACKGROUND AND QUALIFICATIONS</w:t>
      </w:r>
    </w:p>
    <w:p>
      <w:pPr>
        <w:pStyle w:val="Normal"/>
        <w:rPr>
          <w:b/>
          <w:i/>
          <w:i/>
          <w:sz w:val="24"/>
        </w:rPr>
      </w:pPr>
      <w:r>
        <w:rPr>
          <w:b/>
          <w:i/>
          <w:sz w:val="24"/>
        </w:rPr>
      </w:r>
    </w:p>
    <w:p>
      <w:pPr>
        <w:pStyle w:val="Normal"/>
        <w:spacing w:lineRule="auto" w:line="360"/>
        <w:ind w:firstLine="720" w:end="0"/>
        <w:rPr>
          <w:sz w:val="24"/>
        </w:rPr>
      </w:pPr>
      <w:r>
        <w:rPr>
          <w:sz w:val="24"/>
        </w:rPr>
        <w:t>I, Jeffrey Dasovich, state:</w:t>
      </w:r>
    </w:p>
    <w:p>
      <w:pPr>
        <w:pStyle w:val="Normal"/>
        <w:spacing w:lineRule="auto" w:line="360"/>
        <w:ind w:firstLine="720" w:end="0"/>
        <w:rPr>
          <w:sz w:val="24"/>
        </w:rPr>
      </w:pPr>
      <w:r>
        <w:rPr>
          <w:sz w:val="24"/>
        </w:rPr>
        <w:t xml:space="preserve">I am a Director of California State Government Affairs for Enron Corp.  My business address is 101 California Street, Suite 1950, San Francisco, California, 94110.  Since joining Enron Corp. in 1997, my responsibilities have included representing Enron Corp. in California in matters related to natural gas, electricity and telecommunications.  I have also represented the Company in gas matters in Nevada and Colorado. </w:t>
      </w:r>
    </w:p>
    <w:p>
      <w:pPr>
        <w:pStyle w:val="Normal"/>
        <w:spacing w:lineRule="auto" w:line="360"/>
        <w:ind w:firstLine="720" w:end="0"/>
        <w:rPr>
          <w:sz w:val="24"/>
        </w:rPr>
      </w:pPr>
      <w:r>
        <w:rPr>
          <w:sz w:val="24"/>
        </w:rPr>
        <w:t>Prior to joining Enron, I was a Managing Consultant with the Law &amp; Economics Consulting Group, Inc. (now LECG, Inc.) where I advised US and international telecommunications clients on industry deregulation, public policy and business strategy.  Prior to LECG, Inc., I served as a strategic planner in the California Public Utilities Commission's Division of Strategic Planning (DSP).  As a member of DSP, my key responsibilities included assisting Commissioners to launch California's landmark initiatives to restructure the state's electric and telecommunications industries.  During my tenure at the Public Utilities Commission, I also acted as an expert witness for the Division of Ratepayer Advocates (recently renamed the Office of Ratepayer Advocates) on the subject of power plant capacity expansion modeling and auction theory.</w:t>
      </w:r>
    </w:p>
    <w:p>
      <w:pPr>
        <w:pStyle w:val="Normal"/>
        <w:spacing w:lineRule="auto" w:line="360"/>
        <w:ind w:firstLine="720" w:end="0"/>
        <w:rPr>
          <w:sz w:val="24"/>
        </w:rPr>
      </w:pPr>
      <w:r>
        <w:rPr>
          <w:sz w:val="24"/>
        </w:rPr>
        <w:t>I received a Masters of Public Policy degree and a Bachelor of Arts degree from the University of California at Berkeley.</w:t>
      </w:r>
    </w:p>
    <w:p>
      <w:pPr>
        <w:pStyle w:val="Normal"/>
        <w:spacing w:lineRule="auto" w:line="360"/>
        <w:ind w:firstLine="720" w:end="0"/>
        <w:rPr>
          <w:sz w:val="24"/>
        </w:rPr>
      </w:pPr>
      <w:r>
        <w:rPr>
          <w:sz w:val="24"/>
        </w:rPr>
      </w:r>
    </w:p>
    <w:p>
      <w:pPr>
        <w:pStyle w:val="Normal"/>
        <w:spacing w:lineRule="auto" w:line="360"/>
        <w:rPr>
          <w:b/>
          <w:i/>
          <w:i/>
          <w:caps/>
          <w:sz w:val="24"/>
        </w:rPr>
      </w:pPr>
      <w:r>
        <w:rPr>
          <w:b/>
          <w:i/>
          <w:caps/>
          <w:sz w:val="24"/>
        </w:rPr>
        <w:t>The Most Important Promising Options Are Implemented by the Comprehensive Settlement</w:t>
      </w:r>
    </w:p>
    <w:p>
      <w:pPr>
        <w:pStyle w:val="Normal"/>
        <w:spacing w:lineRule="auto" w:line="360"/>
        <w:ind w:firstLine="720" w:end="0"/>
        <w:rPr>
          <w:sz w:val="24"/>
        </w:rPr>
      </w:pPr>
      <w:r>
        <w:rPr>
          <w:sz w:val="24"/>
        </w:rPr>
        <w:t xml:space="preserve">The Commission has developed an extensive record during the course of its comprehensive, 18-month examination of California natural gas industry.  The examination shows clearly that the benefits to both gas and electric consumers increase as entry by more service providers is encouraged, services are disaggregated, and competition is increased.  The Commission's lengthy inquiry also placed into sharp focus the fact that gas restructuring in California has not occurred on a consistent basis.  Within individual utility service territories, efforts to restructure the state's gas industry have been directed predominantly toward large customers.  And across utility service territories, the roots of restructuring run substantially deeper in Northern California than in Southern California.   </w:t>
      </w:r>
    </w:p>
    <w:p>
      <w:pPr>
        <w:pStyle w:val="Normal"/>
        <w:spacing w:lineRule="auto" w:line="360"/>
        <w:ind w:firstLine="720" w:end="0"/>
        <w:rPr>
          <w:sz w:val="24"/>
        </w:rPr>
      </w:pPr>
      <w:r>
        <w:rPr>
          <w:sz w:val="24"/>
        </w:rPr>
        <w:t xml:space="preserve">In Decision 99-07-015, identifying "Promising Policy Options," the Commission explicitly recognized that gas restructuring in California has been fragmented and inconsistent and that both gas and electric customers have foregone significant benefits as a result.  In response, the Commission identified the reforms needed to further the public interest by completing the restructuring that began over two decades ago and establishing a consistent, statewide gas market accessible to all of California's gas consumers.  </w:t>
      </w:r>
    </w:p>
    <w:p>
      <w:pPr>
        <w:pStyle w:val="Normal"/>
        <w:spacing w:lineRule="auto" w:line="360"/>
        <w:rPr>
          <w:sz w:val="24"/>
        </w:rPr>
      </w:pPr>
      <w:r>
        <w:rPr>
          <w:sz w:val="24"/>
        </w:rPr>
        <w:t>In developing its package of reforms, the Commission noted that most states either were undertaking similar reforms or had already done so.  In fact, when compared to gas restructuring activities underway or completed in other states, the package of reforms recommended by the Commission clearly offers a mainstream, modest approach.  The Commission's approach appropriately builds on the successful experience of two decades of gas industry restructuring at the state and federal level and adopts best industry practices.</w:t>
      </w:r>
    </w:p>
    <w:p>
      <w:pPr>
        <w:pStyle w:val="Normal"/>
        <w:spacing w:lineRule="auto" w:line="360"/>
        <w:rPr>
          <w:sz w:val="24"/>
        </w:rPr>
      </w:pPr>
      <w:r>
        <w:rPr>
          <w:sz w:val="24"/>
        </w:rPr>
        <w:tab/>
        <w:t>The majority of the Promising Options identified by the Commission in D. 99-07-015 are adopted by the Comprehensive Settlement, particularly the key Promising Options which address the unbundling of intrastate transmission, storage and balancing services.</w:t>
      </w:r>
    </w:p>
    <w:p>
      <w:pPr>
        <w:pStyle w:val="Normal"/>
        <w:spacing w:lineRule="auto" w:line="360"/>
        <w:rPr>
          <w:sz w:val="24"/>
        </w:rPr>
      </w:pPr>
      <w:r>
        <w:rPr>
          <w:sz w:val="24"/>
        </w:rPr>
        <w:tab/>
        <w:t>With regard to intrastate transmission unbundling, the Comprehensive Settlement addresses the following promising options:</w:t>
      </w:r>
    </w:p>
    <w:p>
      <w:pPr>
        <w:pStyle w:val="Normal"/>
        <w:numPr>
          <w:ilvl w:val="0"/>
          <w:numId w:val="5"/>
        </w:numPr>
        <w:tabs>
          <w:tab w:val="clear" w:pos="720"/>
          <w:tab w:val="left" w:pos="1080" w:leader="none"/>
        </w:tabs>
        <w:spacing w:lineRule="auto" w:line="360"/>
        <w:ind w:hanging="360" w:start="1080" w:end="0"/>
        <w:rPr>
          <w:sz w:val="24"/>
        </w:rPr>
      </w:pPr>
      <w:r>
        <w:rPr>
          <w:i/>
          <w:sz w:val="24"/>
        </w:rPr>
        <w:t>Creates firm, tradable intrastate transmission rights</w:t>
      </w:r>
      <w:r>
        <w:rPr>
          <w:sz w:val="24"/>
        </w:rPr>
        <w:t>.  The Comprehensive Settlement allows customers and other parties to acquire and trade firm rights to transport gas from a given receipt point to any on- or off-system delivery point or burnertip.</w:t>
      </w:r>
    </w:p>
    <w:p>
      <w:pPr>
        <w:pStyle w:val="Normal"/>
        <w:numPr>
          <w:ilvl w:val="0"/>
          <w:numId w:val="5"/>
        </w:numPr>
        <w:tabs>
          <w:tab w:val="clear" w:pos="720"/>
          <w:tab w:val="left" w:pos="1080" w:leader="none"/>
        </w:tabs>
        <w:spacing w:lineRule="auto" w:line="360"/>
        <w:ind w:hanging="360" w:start="1080" w:end="0"/>
        <w:rPr>
          <w:sz w:val="24"/>
        </w:rPr>
      </w:pPr>
      <w:r>
        <w:rPr>
          <w:i/>
          <w:sz w:val="24"/>
        </w:rPr>
        <w:t>Creates a secondary market for intrastate transmission</w:t>
      </w:r>
      <w:r>
        <w:rPr>
          <w:sz w:val="24"/>
        </w:rPr>
        <w:t>.  The Comprehensive Settlement expressly provides for the development of a secondary market for trading of intrastate rights.</w:t>
      </w:r>
    </w:p>
    <w:p>
      <w:pPr>
        <w:pStyle w:val="Normal"/>
        <w:numPr>
          <w:ilvl w:val="0"/>
          <w:numId w:val="5"/>
        </w:numPr>
        <w:tabs>
          <w:tab w:val="clear" w:pos="720"/>
          <w:tab w:val="left" w:pos="1080" w:leader="none"/>
        </w:tabs>
        <w:spacing w:lineRule="auto" w:line="360"/>
        <w:ind w:hanging="360" w:start="1080" w:end="0"/>
        <w:rPr>
          <w:sz w:val="24"/>
        </w:rPr>
      </w:pPr>
      <w:r>
        <w:rPr>
          <w:i/>
          <w:sz w:val="24"/>
        </w:rPr>
        <w:t>Places the utility at risk for unused resources.</w:t>
      </w:r>
      <w:r>
        <w:rPr>
          <w:sz w:val="24"/>
        </w:rPr>
        <w:t xml:space="preserve">  The Comprehensive Settlement provides that once SoCalGas has completely unbundled its intrastate transmission network on October 1, 2001, SoCalGas will absorb 100% of the risk of all intrastate capacity that remains unsubscribed in the open season and which SoCalGas can market as as-available capacity.</w:t>
      </w:r>
    </w:p>
    <w:p>
      <w:pPr>
        <w:pStyle w:val="Normal"/>
        <w:numPr>
          <w:ilvl w:val="0"/>
          <w:numId w:val="5"/>
        </w:numPr>
        <w:tabs>
          <w:tab w:val="clear" w:pos="720"/>
          <w:tab w:val="left" w:pos="1080" w:leader="none"/>
        </w:tabs>
        <w:spacing w:lineRule="auto" w:line="360"/>
        <w:ind w:hanging="360" w:start="1080" w:end="0"/>
        <w:rPr>
          <w:sz w:val="24"/>
        </w:rPr>
      </w:pPr>
      <w:r>
        <w:rPr>
          <w:i/>
          <w:sz w:val="24"/>
        </w:rPr>
        <w:t>Establishes Hector Road as a delivery point</w:t>
      </w:r>
      <w:r>
        <w:rPr>
          <w:sz w:val="24"/>
        </w:rPr>
        <w:t>.  The Comprehensive Settlement  establishes Hector Road as a primary delivery point for 50 MMcfd, and as a secondary point for additional capacity when the interconnection with Transwestern at Needles, California is not utilized up to its 750 MMcfd capacity.</w:t>
      </w:r>
    </w:p>
    <w:p>
      <w:pPr>
        <w:pStyle w:val="Normal"/>
        <w:numPr>
          <w:ilvl w:val="0"/>
          <w:numId w:val="5"/>
        </w:numPr>
        <w:tabs>
          <w:tab w:val="clear" w:pos="720"/>
          <w:tab w:val="left" w:pos="1080" w:leader="none"/>
        </w:tabs>
        <w:spacing w:lineRule="auto" w:line="360"/>
        <w:ind w:hanging="360" w:start="1080" w:end="0"/>
        <w:rPr>
          <w:sz w:val="24"/>
        </w:rPr>
      </w:pPr>
      <w:r>
        <w:rPr>
          <w:i/>
          <w:sz w:val="24"/>
        </w:rPr>
        <w:t>Requires SoCalGas to publish its windowing criteria, and establishes fair, predictable, and clear  procedures for allocating capacity in the long run</w:t>
      </w:r>
      <w:r>
        <w:rPr>
          <w:sz w:val="24"/>
        </w:rPr>
        <w:t>.  With regard to intrastate transmission capacity, the Comprehensive Settlement goes well beyond the Promising Options identified by the Commission.   In the short run, the Comprehensive Settlement does not merely require SoCalGas to publish its windowing criteria, but replaces SoCalGas' windowing criteria with a policy that allows market participants to make nominations up to the full physical capacity at each receipt point.  This policy is supported by an overwhelming consensus of the customers, shippers and market participants on the SoCalGas system.  Over the longer term, the settlement adopts and requires SoCalGas to implement an open season for the purpose of allocating intrastate capacity at each receipt point.  SoCalGas will publish these procedures in its tariffs for easy access by customers and shippers.  Of critical importance is the fact that the settlement adopts a structure and design for the intrastate capacity open season and secondary market that has been well tested in other gas markets and with which market participants are very familiar.  Similar in construct to the open season conducted by PG&amp;E on its intrastate system, SoCalGas' open season permits customers to bid based on either "straight-fixed variable" (SFV) or "modified fixed variable" (MFV) rates designs.  The bids must also specify the term for which the capacity is sought.  In the event that in the open season capacity is oversubscribed at any receipt point with bids of equivalent terms, SoCalGas will pro-rate the capacity.</w:t>
      </w:r>
    </w:p>
    <w:p>
      <w:pPr>
        <w:pStyle w:val="Normal"/>
        <w:spacing w:lineRule="auto" w:line="360"/>
        <w:ind w:start="720" w:end="0"/>
        <w:rPr>
          <w:sz w:val="24"/>
        </w:rPr>
      </w:pPr>
      <w:r>
        <w:rPr>
          <w:sz w:val="24"/>
        </w:rPr>
        <w:t>With respect to Storage, the Comprehensive Settlement also implements the key promising options.  The Comprehensive Settlement:</w:t>
      </w:r>
    </w:p>
    <w:p>
      <w:pPr>
        <w:pStyle w:val="Normal"/>
        <w:numPr>
          <w:ilvl w:val="0"/>
          <w:numId w:val="2"/>
        </w:numPr>
        <w:tabs>
          <w:tab w:val="clear" w:pos="720"/>
          <w:tab w:val="left" w:pos="1800" w:leader="none"/>
        </w:tabs>
        <w:spacing w:lineRule="auto" w:line="360"/>
        <w:ind w:hanging="360" w:start="1800" w:end="0"/>
        <w:rPr>
          <w:sz w:val="24"/>
        </w:rPr>
      </w:pPr>
      <w:r>
        <w:rPr>
          <w:i/>
          <w:sz w:val="24"/>
        </w:rPr>
        <w:t>Creates  firm, tradable storage rights</w:t>
      </w:r>
      <w:r>
        <w:rPr>
          <w:sz w:val="24"/>
        </w:rPr>
        <w:t>.</w:t>
      </w:r>
    </w:p>
    <w:p>
      <w:pPr>
        <w:pStyle w:val="Normal"/>
        <w:numPr>
          <w:ilvl w:val="0"/>
          <w:numId w:val="2"/>
        </w:numPr>
        <w:tabs>
          <w:tab w:val="clear" w:pos="720"/>
          <w:tab w:val="left" w:pos="1800" w:leader="none"/>
        </w:tabs>
        <w:spacing w:lineRule="auto" w:line="360"/>
        <w:ind w:hanging="360" w:start="1800" w:end="0"/>
        <w:rPr>
          <w:sz w:val="24"/>
        </w:rPr>
      </w:pPr>
      <w:r>
        <w:rPr>
          <w:i/>
          <w:sz w:val="24"/>
        </w:rPr>
        <w:t>Establishes  a secondary market for storage rights</w:t>
      </w:r>
      <w:r>
        <w:rPr>
          <w:sz w:val="24"/>
        </w:rPr>
        <w:t>.</w:t>
      </w:r>
    </w:p>
    <w:p>
      <w:pPr>
        <w:pStyle w:val="Normal"/>
        <w:numPr>
          <w:ilvl w:val="0"/>
          <w:numId w:val="2"/>
        </w:numPr>
        <w:tabs>
          <w:tab w:val="clear" w:pos="720"/>
          <w:tab w:val="left" w:pos="1800" w:leader="none"/>
        </w:tabs>
        <w:spacing w:lineRule="auto" w:line="360"/>
        <w:ind w:hanging="360" w:start="1800" w:end="0"/>
        <w:rPr>
          <w:sz w:val="24"/>
        </w:rPr>
      </w:pPr>
      <w:r>
        <w:rPr>
          <w:i/>
          <w:sz w:val="24"/>
        </w:rPr>
        <w:t>Places SoCalGas at risk for unused storage resources</w:t>
      </w:r>
      <w:r>
        <w:rPr>
          <w:sz w:val="24"/>
        </w:rPr>
        <w:t>.  By the third year of the implementation of the settlement, the Comprehensive settlement requires that SoCalGas absorb 100% of the risk for storage left unsubscribed through primary open season and which SoCalGas may market as available capacity.</w:t>
      </w:r>
    </w:p>
    <w:p>
      <w:pPr>
        <w:pStyle w:val="Normal"/>
        <w:tabs>
          <w:tab w:val="clear" w:pos="720"/>
          <w:tab w:val="left" w:pos="1800" w:leader="none"/>
        </w:tabs>
        <w:spacing w:lineRule="auto" w:line="360"/>
        <w:rPr>
          <w:sz w:val="24"/>
        </w:rPr>
      </w:pPr>
      <w:r>
        <w:rPr>
          <w:sz w:val="24"/>
        </w:rPr>
      </w:r>
    </w:p>
    <w:p>
      <w:pPr>
        <w:pStyle w:val="Normal"/>
        <w:spacing w:lineRule="auto" w:line="360"/>
        <w:ind w:start="720" w:end="0"/>
        <w:rPr>
          <w:sz w:val="24"/>
        </w:rPr>
      </w:pPr>
      <w:r>
        <w:rPr>
          <w:sz w:val="24"/>
        </w:rPr>
        <w:t>In the same way, the Comprehensive Settlement addresses the Promising Options identified by the Commission regarding Balancing. The Comprehensive Settlement:</w:t>
      </w:r>
    </w:p>
    <w:p>
      <w:pPr>
        <w:pStyle w:val="Normal"/>
        <w:numPr>
          <w:ilvl w:val="0"/>
          <w:numId w:val="3"/>
        </w:numPr>
        <w:tabs>
          <w:tab w:val="clear" w:pos="720"/>
          <w:tab w:val="left" w:pos="1800" w:leader="none"/>
          <w:tab w:val="left" w:pos="1860" w:leader="none"/>
        </w:tabs>
        <w:spacing w:lineRule="auto" w:line="360"/>
        <w:ind w:hanging="360" w:start="1800" w:end="0"/>
        <w:rPr>
          <w:sz w:val="24"/>
        </w:rPr>
      </w:pPr>
      <w:r>
        <w:rPr>
          <w:i/>
          <w:sz w:val="24"/>
        </w:rPr>
        <w:t>Permits SoCalGas to ensure that the system remains adequately balanced</w:t>
      </w:r>
      <w:r>
        <w:rPr>
          <w:sz w:val="24"/>
        </w:rPr>
        <w:t xml:space="preserve"> </w:t>
      </w:r>
      <w:r>
        <w:rPr>
          <w:i/>
          <w:sz w:val="24"/>
        </w:rPr>
        <w:t>without drawing upon core customers assets</w:t>
      </w:r>
      <w:r>
        <w:rPr>
          <w:sz w:val="24"/>
        </w:rPr>
        <w:t>.</w:t>
      </w:r>
    </w:p>
    <w:p>
      <w:pPr>
        <w:pStyle w:val="Normal"/>
        <w:numPr>
          <w:ilvl w:val="0"/>
          <w:numId w:val="3"/>
        </w:numPr>
        <w:tabs>
          <w:tab w:val="clear" w:pos="720"/>
          <w:tab w:val="left" w:pos="1800" w:leader="none"/>
          <w:tab w:val="left" w:pos="1860" w:leader="none"/>
        </w:tabs>
        <w:spacing w:lineRule="auto" w:line="360"/>
        <w:ind w:hanging="360" w:start="1800" w:end="0"/>
        <w:rPr>
          <w:sz w:val="24"/>
        </w:rPr>
      </w:pPr>
      <w:r>
        <w:rPr>
          <w:i/>
          <w:sz w:val="24"/>
        </w:rPr>
        <w:t>Separates (unbundles) the costs and rates associated with providing balancing services.</w:t>
      </w:r>
    </w:p>
    <w:p>
      <w:pPr>
        <w:pStyle w:val="Normal"/>
        <w:numPr>
          <w:ilvl w:val="0"/>
          <w:numId w:val="3"/>
        </w:numPr>
        <w:tabs>
          <w:tab w:val="clear" w:pos="720"/>
          <w:tab w:val="left" w:pos="1800" w:leader="none"/>
          <w:tab w:val="left" w:pos="1860" w:leader="none"/>
        </w:tabs>
        <w:spacing w:lineRule="auto" w:line="360"/>
        <w:ind w:hanging="360" w:start="1800" w:end="0"/>
        <w:rPr>
          <w:i/>
          <w:i/>
          <w:sz w:val="24"/>
        </w:rPr>
      </w:pPr>
      <w:r>
        <w:rPr>
          <w:i/>
          <w:sz w:val="24"/>
        </w:rPr>
        <w:t xml:space="preserve">Permits electronic trading of imbalances, </w:t>
      </w:r>
      <w:r>
        <w:rPr>
          <w:sz w:val="24"/>
        </w:rPr>
        <w:t>and establishes the necessary infrastructure necessary to facilitate such trading.</w:t>
      </w:r>
    </w:p>
    <w:p>
      <w:pPr>
        <w:pStyle w:val="Normal"/>
        <w:numPr>
          <w:ilvl w:val="0"/>
          <w:numId w:val="3"/>
        </w:numPr>
        <w:tabs>
          <w:tab w:val="clear" w:pos="720"/>
          <w:tab w:val="left" w:pos="1800" w:leader="none"/>
          <w:tab w:val="left" w:pos="1860" w:leader="none"/>
        </w:tabs>
        <w:spacing w:lineRule="auto" w:line="360"/>
        <w:ind w:hanging="360" w:start="1800" w:end="0"/>
        <w:rPr>
          <w:sz w:val="24"/>
        </w:rPr>
      </w:pPr>
      <w:r>
        <w:rPr>
          <w:i/>
          <w:sz w:val="24"/>
        </w:rPr>
        <w:t xml:space="preserve">Implements a system of targeted, Operational Flow Orders </w:t>
      </w:r>
      <w:r>
        <w:rPr>
          <w:sz w:val="24"/>
        </w:rPr>
        <w:t>(OFOs) to ensure safety on the gas system.</w:t>
      </w:r>
    </w:p>
    <w:p>
      <w:pPr>
        <w:pStyle w:val="Normal"/>
        <w:numPr>
          <w:ilvl w:val="0"/>
          <w:numId w:val="3"/>
        </w:numPr>
        <w:tabs>
          <w:tab w:val="clear" w:pos="720"/>
          <w:tab w:val="left" w:pos="1800" w:leader="none"/>
          <w:tab w:val="left" w:pos="1860" w:leader="none"/>
        </w:tabs>
        <w:spacing w:lineRule="auto" w:line="360"/>
        <w:ind w:hanging="360" w:start="1800" w:end="0"/>
        <w:rPr>
          <w:sz w:val="24"/>
        </w:rPr>
      </w:pPr>
      <w:r>
        <w:rPr>
          <w:i/>
          <w:sz w:val="24"/>
        </w:rPr>
        <w:t>Implements a daily balancing option</w:t>
      </w:r>
      <w:r>
        <w:rPr>
          <w:sz w:val="24"/>
        </w:rPr>
        <w:t xml:space="preserve"> which provides customers with additional flexibility by allowing them to voluntarily balance their own gas supply and demand on a daily basis and avoid thereby a substantial portion of the cost of balancing service provided by SoCalGas.</w:t>
      </w:r>
    </w:p>
    <w:p>
      <w:pPr>
        <w:pStyle w:val="Normal"/>
        <w:tabs>
          <w:tab w:val="clear" w:pos="720"/>
          <w:tab w:val="left" w:pos="1860" w:leader="none"/>
        </w:tabs>
        <w:spacing w:lineRule="auto" w:line="360"/>
        <w:rPr>
          <w:sz w:val="24"/>
        </w:rPr>
      </w:pPr>
      <w:r>
        <w:rPr>
          <w:sz w:val="24"/>
        </w:rPr>
      </w:r>
    </w:p>
    <w:p>
      <w:pPr>
        <w:pStyle w:val="Normal"/>
        <w:numPr>
          <w:ilvl w:val="0"/>
          <w:numId w:val="0"/>
        </w:numPr>
        <w:spacing w:lineRule="auto" w:line="360"/>
        <w:ind w:firstLine="720" w:end="0"/>
        <w:outlineLvl w:val="0"/>
        <w:rPr>
          <w:sz w:val="24"/>
        </w:rPr>
      </w:pPr>
      <w:r>
        <w:rPr>
          <w:sz w:val="24"/>
        </w:rPr>
        <w:t>In addition, the Comprehensive Settlement successfully concludes the lengthy and frustrating process of implementing unbundled interstate capacity for core customers on the SoCalGas system.    The Comprehensive Settlement achieves an equitable, pragmatic transition to the expiration of the SoCalGas interstate capacity contracts with El Paso Natural Gas Co. The settlement requires both the core and non core pay for the stranded capacity costs associated with the specific assets used to serve their respective customer classes.  The Comprehensive Settlement also provides for a reasonable allocation of the costs of unbundling interstate capacity for core aggregation customers between core and noncore customers.</w:t>
      </w:r>
    </w:p>
    <w:p>
      <w:pPr>
        <w:pStyle w:val="Normal"/>
        <w:numPr>
          <w:ilvl w:val="0"/>
          <w:numId w:val="0"/>
        </w:numPr>
        <w:spacing w:lineRule="auto" w:line="360"/>
        <w:ind w:firstLine="720" w:end="0"/>
        <w:outlineLvl w:val="0"/>
        <w:rPr>
          <w:sz w:val="24"/>
        </w:rPr>
      </w:pPr>
      <w:r>
        <w:rPr>
          <w:sz w:val="24"/>
        </w:rPr>
      </w:r>
    </w:p>
    <w:p>
      <w:pPr>
        <w:pStyle w:val="Normal"/>
        <w:numPr>
          <w:ilvl w:val="0"/>
          <w:numId w:val="0"/>
        </w:numPr>
        <w:spacing w:lineRule="auto" w:line="360"/>
        <w:outlineLvl w:val="0"/>
        <w:rPr>
          <w:b/>
          <w:i/>
          <w:i/>
          <w:sz w:val="24"/>
        </w:rPr>
      </w:pPr>
      <w:r>
        <w:rPr>
          <w:b/>
          <w:i/>
          <w:sz w:val="24"/>
        </w:rPr>
        <w:t>The Settlement Brings More Choices to All of California's Gas Consumers</w:t>
      </w:r>
    </w:p>
    <w:p>
      <w:pPr>
        <w:pStyle w:val="Normal"/>
        <w:spacing w:lineRule="auto" w:line="360"/>
        <w:rPr>
          <w:sz w:val="24"/>
        </w:rPr>
      </w:pPr>
      <w:r>
        <w:rPr>
          <w:sz w:val="24"/>
        </w:rPr>
        <w:tab/>
        <w:t>For a variety of reasons, this Comprehensive Settlement submitted by SoCalGas, the California Alliance for Competition, and a large number of other parties clearly furthers the public interest.  All Californians will benefit significantly if the Comprehensive Settlement is implemented according to the timetable included in the Settlement.  Accordingly, the Commission should approve the Comprehensive Settlement.</w:t>
      </w:r>
    </w:p>
    <w:p>
      <w:pPr>
        <w:pStyle w:val="Normal"/>
        <w:spacing w:lineRule="auto" w:line="360"/>
        <w:ind w:firstLine="720" w:end="0"/>
        <w:rPr>
          <w:sz w:val="24"/>
        </w:rPr>
      </w:pPr>
      <w:r>
        <w:rPr>
          <w:sz w:val="24"/>
        </w:rPr>
        <w:t>The essence of the free-market system on which our economy is based is the ability of suppliers to procure the individual inputs that make up a particular good or service, and put those pieces together in a way that best meets the needs of customers. From laptop computers to automobiles to CD players, if suppliers can combine the various inputs--or devise new, innovative inputs--in a way that appeal to customers, then those suppliers are more apt to find a buyer for her product or service.  Likewise, if a supplier can find innovative ways to price, or market, a particular good or service in a way that appeals to a customer's specific needs, then, again, the supplier is more apt to find a buyer for her product.  The Comprehensive Settlement is based upon these market dynamics and is therefore able to provide all consumers, large and small alike, with more choices and greater access to a wider variety of more efficient and innovative gas products and services.</w:t>
      </w:r>
    </w:p>
    <w:p>
      <w:pPr>
        <w:pStyle w:val="Normal"/>
        <w:spacing w:lineRule="auto" w:line="360"/>
        <w:ind w:firstLine="720" w:end="0"/>
        <w:rPr>
          <w:sz w:val="24"/>
        </w:rPr>
      </w:pPr>
      <w:r>
        <w:rPr>
          <w:sz w:val="24"/>
        </w:rPr>
      </w:r>
    </w:p>
    <w:p>
      <w:pPr>
        <w:pStyle w:val="Normal"/>
        <w:spacing w:lineRule="auto" w:line="360"/>
        <w:rPr>
          <w:b/>
          <w:i/>
          <w:i/>
          <w:sz w:val="24"/>
        </w:rPr>
      </w:pPr>
      <w:r>
        <w:rPr>
          <w:b/>
          <w:i/>
          <w:sz w:val="24"/>
        </w:rPr>
        <w:t>The Settlement Furthers the Commission's Long-standing Goals for Gas Restructuring in California</w:t>
      </w:r>
    </w:p>
    <w:p>
      <w:pPr>
        <w:pStyle w:val="Normal"/>
        <w:spacing w:lineRule="auto" w:line="360"/>
        <w:rPr>
          <w:sz w:val="24"/>
        </w:rPr>
      </w:pPr>
      <w:r>
        <w:rPr>
          <w:sz w:val="24"/>
        </w:rPr>
        <w:tab/>
        <w:t>Since reform of the gas industry began more than 20 years ago, four key principles have formed the basis of successful restructuring at the state and federal levels:</w:t>
      </w:r>
    </w:p>
    <w:p>
      <w:pPr>
        <w:pStyle w:val="Normal"/>
        <w:numPr>
          <w:ilvl w:val="0"/>
          <w:numId w:val="8"/>
        </w:numPr>
        <w:spacing w:lineRule="auto" w:line="360"/>
        <w:rPr>
          <w:sz w:val="24"/>
        </w:rPr>
      </w:pPr>
      <w:r>
        <w:rPr>
          <w:sz w:val="24"/>
        </w:rPr>
        <w:t>The elimination of regulatory and artificial barriers to entry in order to encourage competing providers.</w:t>
      </w:r>
    </w:p>
    <w:p>
      <w:pPr>
        <w:pStyle w:val="Normal"/>
        <w:numPr>
          <w:ilvl w:val="0"/>
          <w:numId w:val="8"/>
        </w:numPr>
        <w:spacing w:lineRule="auto" w:line="360"/>
        <w:rPr>
          <w:sz w:val="24"/>
        </w:rPr>
      </w:pPr>
      <w:r>
        <w:rPr>
          <w:sz w:val="24"/>
        </w:rPr>
        <w:t xml:space="preserve">The disaggregation of gas service into its component parts (e.g., transportation, storage, balancing, procurement, metering and billing) in order to: </w:t>
      </w:r>
    </w:p>
    <w:p>
      <w:pPr>
        <w:pStyle w:val="Normal"/>
        <w:numPr>
          <w:ilvl w:val="0"/>
          <w:numId w:val="4"/>
        </w:numPr>
        <w:tabs>
          <w:tab w:val="left" w:pos="720" w:leader="none"/>
        </w:tabs>
        <w:spacing w:lineRule="auto" w:line="360"/>
        <w:ind w:hanging="360" w:start="720" w:end="0"/>
        <w:rPr>
          <w:sz w:val="24"/>
        </w:rPr>
      </w:pPr>
      <w:r>
        <w:rPr>
          <w:sz w:val="24"/>
        </w:rPr>
        <w:t xml:space="preserve">permit customers to tailor service to meet their particular needs, </w:t>
      </w:r>
    </w:p>
    <w:p>
      <w:pPr>
        <w:pStyle w:val="Normal"/>
        <w:numPr>
          <w:ilvl w:val="0"/>
          <w:numId w:val="4"/>
        </w:numPr>
        <w:tabs>
          <w:tab w:val="left" w:pos="720" w:leader="none"/>
        </w:tabs>
        <w:spacing w:lineRule="auto" w:line="360"/>
        <w:ind w:hanging="360" w:start="720" w:end="0"/>
        <w:rPr>
          <w:sz w:val="24"/>
        </w:rPr>
      </w:pPr>
      <w:r>
        <w:rPr>
          <w:sz w:val="24"/>
        </w:rPr>
        <w:t xml:space="preserve">ensure that customers only take and pay for the services they desire, and </w:t>
      </w:r>
    </w:p>
    <w:p>
      <w:pPr>
        <w:pStyle w:val="Normal"/>
        <w:numPr>
          <w:ilvl w:val="0"/>
          <w:numId w:val="4"/>
        </w:numPr>
        <w:tabs>
          <w:tab w:val="left" w:pos="720" w:leader="none"/>
        </w:tabs>
        <w:spacing w:lineRule="auto" w:line="360"/>
        <w:ind w:hanging="360" w:start="720" w:end="0"/>
        <w:rPr>
          <w:sz w:val="24"/>
        </w:rPr>
      </w:pPr>
      <w:r>
        <w:rPr>
          <w:sz w:val="24"/>
        </w:rPr>
        <w:t>encourage providers to compete to provide service at every level.</w:t>
      </w:r>
    </w:p>
    <w:p>
      <w:pPr>
        <w:pStyle w:val="Normal"/>
        <w:numPr>
          <w:ilvl w:val="0"/>
          <w:numId w:val="8"/>
        </w:numPr>
        <w:spacing w:lineRule="auto" w:line="360"/>
        <w:rPr>
          <w:sz w:val="24"/>
        </w:rPr>
      </w:pPr>
      <w:r>
        <w:rPr>
          <w:sz w:val="24"/>
        </w:rPr>
        <w:t xml:space="preserve">The use of structural approaches (e.g., divestiture) and nonstructural approaches (e.g., affiliate codes of conduct) to guard choice and competition from the corroding effects of market power abuse. </w:t>
      </w:r>
    </w:p>
    <w:p>
      <w:pPr>
        <w:pStyle w:val="Normal"/>
        <w:numPr>
          <w:ilvl w:val="0"/>
          <w:numId w:val="8"/>
        </w:numPr>
        <w:spacing w:lineRule="auto" w:line="360"/>
        <w:rPr>
          <w:sz w:val="24"/>
        </w:rPr>
      </w:pPr>
      <w:r>
        <w:rPr>
          <w:sz w:val="24"/>
        </w:rPr>
        <w:t>The development of low-cost, effective, consumer protections.</w:t>
      </w:r>
    </w:p>
    <w:p>
      <w:pPr>
        <w:pStyle w:val="Normal"/>
        <w:spacing w:lineRule="auto" w:line="360"/>
        <w:rPr>
          <w:sz w:val="24"/>
        </w:rPr>
      </w:pPr>
      <w:r>
        <w:rPr>
          <w:sz w:val="24"/>
        </w:rPr>
        <w:tab/>
        <w:t xml:space="preserve">The Commission's 18-month gas restructuring process clearly demonstrated that all consumers--residential, commercial and industrial--have benefited significantly from state and federal reforms built on these principles over the past two decades.  Where policy makers have applied these principles, prices have fallen considerably. </w:t>
      </w:r>
    </w:p>
    <w:p>
      <w:pPr>
        <w:pStyle w:val="Normal"/>
        <w:spacing w:lineRule="auto" w:line="360"/>
        <w:ind w:firstLine="720" w:end="0"/>
        <w:rPr>
          <w:rFonts w:ascii="CG Times;Times New Roman" w:hAnsi="CG Times;Times New Roman" w:cs="CG Times;Times New Roman"/>
          <w:sz w:val="24"/>
        </w:rPr>
      </w:pPr>
      <w:r>
        <w:rPr>
          <w:rFonts w:cs="CG Times;Times New Roman" w:ascii="CG Times;Times New Roman" w:hAnsi="CG Times;Times New Roman"/>
          <w:sz w:val="24"/>
        </w:rPr>
        <w:t>At the outset of the Commission's inquiry into gas restructuring, the Commission invited an Enron executive to make a presentation to the Commission and stakeholders depicting the problems and solutions associated with the current gas industry and regulatory structures in California.  The key statistical charts included in that presentation are included herein as Attachments A - H.</w:t>
      </w:r>
    </w:p>
    <w:p>
      <w:pPr>
        <w:pStyle w:val="Normal"/>
        <w:spacing w:lineRule="auto" w:line="360"/>
        <w:ind w:firstLine="720" w:end="0"/>
        <w:rPr>
          <w:rFonts w:ascii="CG Times;Times New Roman" w:hAnsi="CG Times;Times New Roman" w:cs="CG Times;Times New Roman"/>
          <w:sz w:val="24"/>
        </w:rPr>
      </w:pPr>
      <w:r>
        <w:rPr>
          <w:rFonts w:cs="CG Times;Times New Roman" w:ascii="CG Times;Times New Roman" w:hAnsi="CG Times;Times New Roman"/>
          <w:sz w:val="24"/>
        </w:rPr>
        <w:t>That presentation clearly demonstrated that:</w:t>
      </w:r>
    </w:p>
    <w:p>
      <w:pPr>
        <w:pStyle w:val="Normal"/>
        <w:numPr>
          <w:ilvl w:val="0"/>
          <w:numId w:val="9"/>
        </w:numPr>
        <w:spacing w:lineRule="auto" w:line="360"/>
        <w:rPr>
          <w:rFonts w:ascii="CG Times;Times New Roman" w:hAnsi="CG Times;Times New Roman" w:cs="CG Times;Times New Roman"/>
          <w:sz w:val="24"/>
        </w:rPr>
      </w:pPr>
      <w:r>
        <w:rPr>
          <w:rFonts w:cs="CG Times;Times New Roman" w:ascii="CG Times;Times New Roman" w:hAnsi="CG Times;Times New Roman"/>
          <w:sz w:val="24"/>
        </w:rPr>
        <w:t>When policy makers have introduced competition into a segment of the natural gas value chain, prices have remained flat or dropped and consumers have benefited.</w:t>
      </w:r>
    </w:p>
    <w:p>
      <w:pPr>
        <w:pStyle w:val="Normal"/>
        <w:spacing w:lineRule="auto" w:line="360"/>
        <w:ind w:start="360" w:end="0"/>
        <w:rPr>
          <w:rFonts w:ascii="CG Times;Times New Roman" w:hAnsi="CG Times;Times New Roman" w:cs="CG Times;Times New Roman"/>
          <w:sz w:val="24"/>
        </w:rPr>
      </w:pPr>
      <w:r>
        <w:rPr>
          <w:rFonts w:cs="CG Times;Times New Roman" w:ascii="CG Times;Times New Roman" w:hAnsi="CG Times;Times New Roman"/>
          <w:sz w:val="24"/>
        </w:rPr>
        <w:t>The presentation included data showing that the deregulation of well-head natural gas prices has resulted in significantly lower commodity costs for all consumers, large, medium and small alike. See Attachments    .  The data presented showed further that federal initiatives to restructure the nation's interstate pipeline network have made the network more efficient and succeeded in maintaining consistent, downward pressure on transmission network costs. See Attachment   .</w:t>
      </w:r>
    </w:p>
    <w:p>
      <w:pPr>
        <w:pStyle w:val="Normal"/>
        <w:spacing w:lineRule="auto" w:line="360"/>
        <w:ind w:start="360" w:end="0"/>
        <w:rPr>
          <w:rFonts w:ascii="CG Times;Times New Roman" w:hAnsi="CG Times;Times New Roman" w:cs="CG Times;Times New Roman"/>
          <w:sz w:val="24"/>
        </w:rPr>
      </w:pPr>
      <w:r>
        <w:rPr>
          <w:rFonts w:cs="CG Times;Times New Roman" w:ascii="CG Times;Times New Roman" w:hAnsi="CG Times;Times New Roman"/>
          <w:sz w:val="24"/>
        </w:rPr>
      </w:r>
    </w:p>
    <w:p>
      <w:pPr>
        <w:pStyle w:val="Normal"/>
        <w:spacing w:lineRule="auto" w:line="360"/>
        <w:ind w:start="360" w:end="0"/>
        <w:rPr>
          <w:rFonts w:ascii="CG Times;Times New Roman" w:hAnsi="CG Times;Times New Roman" w:cs="CG Times;Times New Roman"/>
          <w:sz w:val="24"/>
        </w:rPr>
      </w:pPr>
      <w:r>
        <w:rPr>
          <w:rFonts w:cs="CG Times;Times New Roman" w:ascii="CG Times;Times New Roman" w:hAnsi="CG Times;Times New Roman"/>
          <w:sz w:val="24"/>
        </w:rPr>
        <w:t>Additional analysis was provided describing California's experience, which mirrored the experience at the national level. That is, the introduction of competition and choice meant lower costs products and services for consumers.  The information provided confirmed that all of California's gas consumers have enjoyed lower-priced gas due to gas well-head deregulation and lower-priced gas transportation products and services due to interstate pipeline restructuring. See Attachment   .</w:t>
      </w:r>
    </w:p>
    <w:p>
      <w:pPr>
        <w:pStyle w:val="Normal"/>
        <w:spacing w:lineRule="auto" w:line="360"/>
        <w:ind w:firstLine="720" w:end="0"/>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0"/>
          <w:numId w:val="1"/>
        </w:numPr>
        <w:spacing w:lineRule="auto" w:line="360"/>
        <w:rPr>
          <w:rFonts w:ascii="CG Times;Times New Roman" w:hAnsi="CG Times;Times New Roman" w:cs="CG Times;Times New Roman"/>
          <w:sz w:val="24"/>
        </w:rPr>
      </w:pPr>
      <w:r>
        <w:rPr>
          <w:rFonts w:cs="CG Times;Times New Roman" w:ascii="CG Times;Times New Roman" w:hAnsi="CG Times;Times New Roman"/>
          <w:sz w:val="24"/>
        </w:rPr>
        <w:t>When policy makers permit monopoly control to persist in a segment of the value chain, prices increase and consumers are worse.  In contrast to the positive price trends resulting from competition in commodity and interstate transportation markets, negative trends have persisted in cases where a monopoly structure remains intact.  In particular, the analysis demonstrated that, nationally, residential and commercial customers have seen prices paid for monopoly distribution services increase over the same period that choice and competition have driven down prices for commodity and interstate transportation services.  See Attachments    .</w:t>
      </w:r>
    </w:p>
    <w:p>
      <w:pPr>
        <w:pStyle w:val="Normal"/>
        <w:spacing w:lineRule="auto" w:line="360"/>
        <w:rPr>
          <w:rFonts w:ascii="CG Times;Times New Roman" w:hAnsi="CG Times;Times New Roman" w:cs="CG Times;Times New Roman"/>
          <w:sz w:val="24"/>
        </w:rPr>
      </w:pPr>
      <w:r>
        <w:rPr>
          <w:rFonts w:cs="CG Times;Times New Roman" w:ascii="CG Times;Times New Roman" w:hAnsi="CG Times;Times New Roman"/>
          <w:sz w:val="24"/>
        </w:rPr>
      </w:r>
    </w:p>
    <w:p>
      <w:pPr>
        <w:pStyle w:val="Normal"/>
        <w:spacing w:lineRule="auto" w:line="360"/>
        <w:ind w:start="360" w:end="0"/>
        <w:rPr>
          <w:rFonts w:ascii="CG Times;Times New Roman" w:hAnsi="CG Times;Times New Roman" w:cs="CG Times;Times New Roman"/>
          <w:sz w:val="24"/>
        </w:rPr>
      </w:pPr>
      <w:r>
        <w:rPr>
          <w:rFonts w:cs="CG Times;Times New Roman" w:ascii="CG Times;Times New Roman" w:hAnsi="CG Times;Times New Roman"/>
          <w:sz w:val="24"/>
        </w:rPr>
        <w:t>More recent analysis confirms this trend (See Attachment    .).  The presentation also showed that noncore customers have seen utility margins decrease, while utility core margins have risen.  This result comes as no surprise, and indeed is a direct result of the fact that, large, noncore customers enjoy a much broader range of choice across substantially more segments of the value chain than do small, core customers.  The comprehensive gas settlement goes a long way toward closing the artificial regulatory gap that has emerged between large and small customers and promises to bring benefits to California's small gas consumers.</w:t>
      </w:r>
    </w:p>
    <w:p>
      <w:pPr>
        <w:pStyle w:val="Normal"/>
        <w:spacing w:lineRule="auto" w:line="360"/>
        <w:ind w:firstLine="720" w:end="0"/>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0"/>
          <w:numId w:val="6"/>
        </w:numPr>
        <w:spacing w:lineRule="auto" w:line="360"/>
        <w:rPr>
          <w:rFonts w:ascii="CG Times;Times New Roman" w:hAnsi="CG Times;Times New Roman" w:cs="CG Times;Times New Roman"/>
          <w:sz w:val="24"/>
        </w:rPr>
      </w:pPr>
      <w:r>
        <w:rPr>
          <w:rFonts w:cs="CG Times;Times New Roman" w:ascii="CG Times;Times New Roman" w:hAnsi="CG Times;Times New Roman"/>
          <w:sz w:val="24"/>
        </w:rPr>
        <w:t>Rather than suffer, safety has actually been enhanced with the continued development of consumer choice and competition.  Based on the US Department of Transportation's National Transportation Statistics, the analysis showed that the number of safety incidents reported has decreased significantly since the Natural Gas Policy Act of 1978 launched the US gas deregulation initiative.  See Attachment   .</w:t>
      </w:r>
    </w:p>
    <w:p>
      <w:pPr>
        <w:pStyle w:val="Normal"/>
        <w:spacing w:lineRule="auto" w:line="360"/>
        <w:ind w:firstLine="720" w:end="0"/>
        <w:rPr>
          <w:rFonts w:ascii="CG Times;Times New Roman" w:hAnsi="CG Times;Times New Roman" w:cs="CG Times;Times New Roman"/>
          <w:sz w:val="24"/>
        </w:rPr>
      </w:pPr>
      <w:r>
        <w:rPr>
          <w:rFonts w:cs="CG Times;Times New Roman" w:ascii="CG Times;Times New Roman" w:hAnsi="CG Times;Times New Roman"/>
          <w:sz w:val="24"/>
        </w:rPr>
      </w:r>
    </w:p>
    <w:p>
      <w:pPr>
        <w:pStyle w:val="Normal"/>
        <w:numPr>
          <w:ilvl w:val="0"/>
          <w:numId w:val="7"/>
        </w:numPr>
        <w:spacing w:lineRule="auto" w:line="360"/>
        <w:rPr>
          <w:rFonts w:ascii="CG Times;Times New Roman" w:hAnsi="CG Times;Times New Roman" w:cs="CG Times;Times New Roman"/>
          <w:sz w:val="24"/>
        </w:rPr>
      </w:pPr>
      <w:r>
        <w:rPr>
          <w:rFonts w:cs="CG Times;Times New Roman" w:ascii="CG Times;Times New Roman" w:hAnsi="CG Times;Times New Roman"/>
          <w:sz w:val="24"/>
        </w:rPr>
        <w:t>Rather than wane, capital investment in critical natural gas transmission infrastructure has continued in conjunction with restructuring.  See Attachment   .</w:t>
      </w:r>
    </w:p>
    <w:p>
      <w:pPr>
        <w:pStyle w:val="Normal"/>
        <w:spacing w:lineRule="auto" w:line="360"/>
        <w:ind w:firstLine="720" w:end="0"/>
        <w:rPr>
          <w:rFonts w:ascii="CG Times;Times New Roman" w:hAnsi="CG Times;Times New Roman" w:cs="CG Times;Times New Roman"/>
          <w:sz w:val="24"/>
        </w:rPr>
      </w:pPr>
      <w:r>
        <w:rPr>
          <w:rFonts w:cs="CG Times;Times New Roman" w:ascii="CG Times;Times New Roman" w:hAnsi="CG Times;Times New Roman"/>
          <w:sz w:val="24"/>
        </w:rPr>
      </w:r>
    </w:p>
    <w:p>
      <w:pPr>
        <w:pStyle w:val="Normal"/>
        <w:spacing w:lineRule="auto" w:line="360"/>
        <w:rPr>
          <w:b/>
          <w:i/>
          <w:i/>
          <w:sz w:val="24"/>
        </w:rPr>
      </w:pPr>
      <w:r>
        <w:rPr>
          <w:b/>
          <w:i/>
          <w:sz w:val="24"/>
        </w:rPr>
        <w:t>The Comprehensive Settlement Provides Other Benefits to All Classes of Customers</w:t>
      </w:r>
    </w:p>
    <w:p>
      <w:pPr>
        <w:pStyle w:val="Normal"/>
        <w:spacing w:lineRule="auto" w:line="360"/>
        <w:ind w:firstLine="720" w:end="0"/>
        <w:rPr>
          <w:sz w:val="24"/>
        </w:rPr>
      </w:pPr>
      <w:r>
        <w:rPr>
          <w:sz w:val="24"/>
        </w:rPr>
        <w:t>The Comprehensive Settlement will provide other important benefits to customers of all types. Customers have reaped substantial benefits from the realignment of risk brought about by restructuring in the energy industries.  Traditionally, utility customers shouldered the significant financial risk associated with the large capital investments made by the incumbent utility.  With the application of the four principles listed above, gas utility customers stand to face substantially less risk as new entrants continue to show a willingness and ability to bear and manage the risk traditionally placed with utility customers.  The Comprehensive Settlement secures these benefits for gas customers in southern California by providing for a transition which will result in SoCalGas being 100% liable for the cost of uncontracted transmission and storage capacity on its system.  Over the years, SoCalGas’ customers have borne substantial risks  with regard to uncontracted capacity, particularly for storage capacity.  The Comprehensive Settlement will, when fully implemented, relieve customers of those risks while providing SoCalGas with a strong incentive to manage its assets reasonably and to avoid the financial risk associated with substantial amounts of surplus capacity.</w:t>
      </w:r>
    </w:p>
    <w:p>
      <w:pPr>
        <w:pStyle w:val="Normal"/>
        <w:spacing w:lineRule="auto" w:line="360"/>
        <w:ind w:firstLine="720" w:end="0"/>
        <w:rPr>
          <w:sz w:val="24"/>
        </w:rPr>
      </w:pPr>
      <w:r>
        <w:rPr>
          <w:sz w:val="24"/>
        </w:rPr>
        <w:t xml:space="preserve">Equally important, the Comprehensive Settlement will reduce the extent to which the gas market in Southern California differs markedly from the market in Northern California.   Statewide consistency, as this issue has been identified, is a goal not to be pursued as an academic goal, but because a simplification of the rules and regulations that market participants face results in lower costs, more efficient transactions, and a more robust and successful competitive market.  </w:t>
      </w:r>
    </w:p>
    <w:p>
      <w:pPr>
        <w:pStyle w:val="Normal"/>
        <w:spacing w:lineRule="auto" w:line="360"/>
        <w:ind w:firstLine="720" w:end="0"/>
        <w:rPr>
          <w:sz w:val="24"/>
        </w:rPr>
      </w:pPr>
      <w:r>
        <w:rPr>
          <w:sz w:val="24"/>
        </w:rPr>
        <w:t xml:space="preserve">As a result of the "Gas Accord," PG&amp;E has significantly disaggregated its service. Consequently, customers have just begun to benefit from an enhanced ability to choose from among a variety of competing, innovative service options and tailor service to best meet their needs at the lowest cost.   In contrast, service disaggregation in SoCalGas' territory has lagged far behind what PG&amp;E has accomplished in its territory. Customers in southern California have fewer, less innovative and more costly gas services as a result.  The adoption of the Comprehensive Settlement will bring the two systems into substantial similarity, and customers, generators, producers, pipelines and marketers who must transact business in both northern and southern California will be able to utilize similar business models to manage gas supply needs.  This reduces the need to have separate procedures for separate utility service territories, simplifies contracting for gas supplies and services, and generally reduces the transactional costs which have a significant effect on the efficiency of a market. </w:t>
      </w:r>
    </w:p>
    <w:p>
      <w:pPr>
        <w:pStyle w:val="Normal"/>
        <w:spacing w:lineRule="auto" w:line="360"/>
        <w:ind w:firstLine="720" w:end="0"/>
        <w:rPr>
          <w:sz w:val="24"/>
        </w:rPr>
      </w:pPr>
      <w:r>
        <w:rPr>
          <w:sz w:val="24"/>
        </w:rPr>
      </w:r>
    </w:p>
    <w:p>
      <w:pPr>
        <w:pStyle w:val="Normal"/>
        <w:spacing w:lineRule="auto" w:line="360"/>
        <w:rPr>
          <w:b/>
          <w:i/>
          <w:i/>
          <w:caps/>
          <w:sz w:val="24"/>
        </w:rPr>
      </w:pPr>
      <w:r>
        <w:rPr>
          <w:b/>
          <w:i/>
          <w:caps/>
          <w:sz w:val="24"/>
        </w:rPr>
        <w:t>The Commission Should Approve the Settlement Because It Furthers the Public Interest</w:t>
      </w:r>
    </w:p>
    <w:p>
      <w:pPr>
        <w:pStyle w:val="Normal"/>
        <w:spacing w:lineRule="auto" w:line="360"/>
        <w:ind w:firstLine="720" w:end="0"/>
        <w:rPr>
          <w:sz w:val="24"/>
        </w:rPr>
      </w:pPr>
      <w:r>
        <w:rPr>
          <w:sz w:val="24"/>
        </w:rPr>
        <w:t>The Settlement is in the public interest because it includes an overwhelming majority, if not all, of the promising reforms the Commission identified in its exhaustive examination of California's natural gas industry.  Moreover, the implementation schedule included in the Settlement strikes an appropriate balance because it promises to promptly bring to all of California's gas consumers the significant benefits of restructuring, without imposing an unreasonable burden on the resources of the Commission, industry stakeholders or the incumbent utilities.</w:t>
      </w:r>
    </w:p>
    <w:p>
      <w:pPr>
        <w:pStyle w:val="Normal"/>
        <w:spacing w:lineRule="auto" w:line="360"/>
        <w:ind w:firstLine="720" w:end="0"/>
        <w:rPr/>
      </w:pPr>
      <w:r>
        <w:rPr>
          <w:sz w:val="24"/>
        </w:rPr>
        <w:t xml:space="preserve">The Settlement is in the public interest because it gives </w:t>
      </w:r>
      <w:r>
        <w:rPr>
          <w:b/>
          <w:i/>
          <w:sz w:val="24"/>
        </w:rPr>
        <w:t>all</w:t>
      </w:r>
      <w:r>
        <w:rPr>
          <w:sz w:val="24"/>
        </w:rPr>
        <w:t xml:space="preserve"> customers considerably more discretion over, and direct access to, a greater number of the vital components that comprise gas service, including transportation, storage, balancing and gas procurement.   In effect, it ends the two-class system that has existed in California's gas regulation for a decade and aligns the gas industry with the state's electric and telecommunications industries, where comparable, artificial regulatory distinctions between "small" and "large" consumers do not exist.  The Settlement further disaggregates the incumbent utilities' service in a manner that will lower entry barriers and mitigate market power and foster greater choice and competition.  By increasing customer choice and requiring service providers to vie vigorously for the privilege of serving California's gas customers, the Settlement will push service providers to continue to increase efficiency, create more innovative products and services, and price competitively.  </w:t>
      </w:r>
    </w:p>
    <w:p>
      <w:pPr>
        <w:pStyle w:val="Normal"/>
        <w:spacing w:lineRule="auto" w:line="360"/>
        <w:ind w:firstLine="720" w:end="0"/>
        <w:rPr>
          <w:sz w:val="24"/>
        </w:rPr>
      </w:pPr>
      <w:r>
        <w:rPr>
          <w:sz w:val="24"/>
        </w:rPr>
        <w:t>The Settlement also furthers the public interest by increasing customer choice, price competition and price certainty.  By giving customers greater freedom to choose, and by increasing opportunities for entrants to compete to assemble gas service packages that better meet customer needs, the Settlement significantly enhances the ability of new market entrants to compete with the incumbent utility.  In addition, the Settlement moves the development and pricing of gas products and services out of a costly and complex regulatory environment and into the marketplace.  This will bring greater price certainty and stability, since prices will respond to customer demand and other market fundamentals rather than the uncertainties and unpredictability of the hearing room.</w:t>
      </w:r>
    </w:p>
    <w:p>
      <w:pPr>
        <w:pStyle w:val="Normal"/>
        <w:spacing w:lineRule="auto" w:line="360"/>
        <w:ind w:firstLine="720" w:end="0"/>
        <w:rPr>
          <w:sz w:val="24"/>
        </w:rPr>
      </w:pPr>
      <w:r>
        <w:rPr>
          <w:sz w:val="24"/>
        </w:rPr>
        <w:t>Finally, the Settlement furthers the public interest in two important ways.  First the Settlement offers consumers significant additional benefits without unfairly shifting costs among or within customer classes.  Indeed the only significant cost shift involved in the Comprehensive Settlement is the shift agreed to by the parties as part of the unbundling of core interstate transmission costs and the end of the core’s contribution of up to 10% of traditional ITCS costs.  Second, the Settlement makes beneficial changes to the current industry structure while simultaneously providing the incumbent utility with a reasonable opportunity to earn a fair return of and on its investment.  The balance of risk in the Comprehensive Settlement between customers and shareholders is fair and reasonable.</w:t>
      </w:r>
    </w:p>
    <w:p>
      <w:pPr>
        <w:pStyle w:val="Normal"/>
        <w:spacing w:lineRule="auto" w:line="360"/>
        <w:ind w:firstLine="720" w:end="0"/>
        <w:rPr/>
      </w:pPr>
      <w:r>
        <w:rPr>
          <w:sz w:val="24"/>
        </w:rPr>
        <w:t xml:space="preserve">For all of these reasons, the Settlement is in the public interest and therefore merits Commission approval. </w:t>
      </w:r>
      <w:r>
        <w:rPr>
          <w:rFonts w:cs="CG Times;Times New Roman" w:ascii="CG Times;Times New Roman" w:hAnsi="CG Times;Times New Roman"/>
        </w:rPr>
        <w:t xml:space="preserve"> </w:t>
      </w:r>
    </w:p>
    <w:p>
      <w:pPr>
        <w:pStyle w:val="Normal"/>
        <w:spacing w:lineRule="exact" w:line="200" w:before="240" w:after="0"/>
        <w:rPr/>
      </w:pPr>
      <w:r>
        <w:rPr>
          <w:rStyle w:val="zzmpTrailerItem"/>
        </w:rPr>
        <w:t>2715/016/DASOVI~1</w:t>
      </w:r>
      <w:r>
        <w:rPr/>
        <w:t xml:space="preserve">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docVars>
    <w:docVar w:name="iTrailerType" w:val="1"/>
    <w:docVar w:name="zzmpFixedDOC_ID" w:val="2715/016/DASOVI~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i/>
      <w:caps/>
      <w:shadow/>
      <w:emboss/>
      <w:vanish/>
      <w:color w:val="auto"/>
      <w:spacing w:val="0"/>
      <w:position w:val="0"/>
      <w:sz w:val="16"/>
      <w:sz w:val="16"/>
      <w:u w:val="none"/>
      <w:effect w:val="blinkBackground"/>
      <w:vertAlign w:val="baseline"/>
      <w:lang w:val="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BodyTextContinued">
    <w:name w:val="Body Text Continued"/>
    <w:basedOn w:val="BodyText"/>
    <w:next w:val="BodyText"/>
    <w:qFormat/>
    <w:pPr>
      <w:ind w:hanging="0" w:start="0" w:end="0"/>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2000-05-03T19:24:00Z</dcterms:created>
  <dc:creator>jdasovic</dc:creator>
  <dc:description/>
  <dc:language>en-CA</dc:language>
  <cp:lastModifiedBy>Michael B. Day</cp:lastModifiedBy>
  <cp:lastPrinted>2000-04-13T12:59:00Z</cp:lastPrinted>
  <dcterms:modified xsi:type="dcterms:W3CDTF">2000-05-03T19:24:00Z</dcterms:modified>
  <cp:revision>2</cp:revision>
  <dc:subject/>
  <dc:title/>
</cp:coreProperties>
</file>