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firstLine="720" w:start="5760" w:end="-720"/>
        <w:outlineLvl w:val="0"/>
        <w:rPr>
          <w:b/>
          <w:sz w:val="24"/>
        </w:rPr>
      </w:pPr>
      <w:r>
        <w:rPr>
          <w:b/>
          <w:sz w:val="24"/>
        </w:rPr>
        <w:t>Enron Corporation</w:t>
      </w:r>
    </w:p>
    <w:p>
      <w:pPr>
        <w:pStyle w:val="Normal"/>
        <w:numPr>
          <w:ilvl w:val="0"/>
          <w:numId w:val="0"/>
        </w:numPr>
        <w:ind w:firstLine="720" w:start="5760" w:end="-1800"/>
        <w:outlineLvl w:val="0"/>
        <w:rPr>
          <w:b/>
          <w:sz w:val="24"/>
        </w:rPr>
      </w:pPr>
      <w:r>
        <w:rPr>
          <w:b/>
          <w:sz w:val="24"/>
        </w:rPr>
        <w:t>Witness: Jeffrey Dasovich</w:t>
      </w:r>
    </w:p>
    <w:p>
      <w:pPr>
        <w:pStyle w:val="Normal"/>
        <w:numPr>
          <w:ilvl w:val="0"/>
          <w:numId w:val="0"/>
        </w:numPr>
        <w:ind w:firstLine="720" w:start="5760" w:end="0"/>
        <w:outlineLvl w:val="0"/>
        <w:rPr>
          <w:b/>
          <w:sz w:val="24"/>
        </w:rPr>
      </w:pPr>
      <w:r>
        <w:rPr>
          <w:b/>
          <w:sz w:val="24"/>
        </w:rPr>
        <w:t>Exhibit 15</w:t>
      </w:r>
    </w:p>
    <w:p>
      <w:pPr>
        <w:pStyle w:val="Normal"/>
        <w:numPr>
          <w:ilvl w:val="0"/>
          <w:numId w:val="0"/>
        </w:numPr>
        <w:ind w:firstLine="720" w:start="5760" w:end="0"/>
        <w:outlineLvl w:val="0"/>
        <w:rPr>
          <w:b/>
          <w:sz w:val="24"/>
        </w:rPr>
      </w:pPr>
      <w:r>
        <w:rPr>
          <w:b/>
          <w:sz w:val="24"/>
        </w:rPr>
        <w:t>Date_____________</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BEFORE THE </w:t>
      </w:r>
    </w:p>
    <w:p>
      <w:pPr>
        <w:pStyle w:val="Normal"/>
        <w:numPr>
          <w:ilvl w:val="0"/>
          <w:numId w:val="0"/>
        </w:numPr>
        <w:jc w:val="center"/>
        <w:outlineLvl w:val="0"/>
        <w:rPr>
          <w:b/>
          <w:sz w:val="24"/>
        </w:rPr>
      </w:pPr>
      <w:r>
        <w:rPr>
          <w:b/>
          <w:sz w:val="24"/>
        </w:rPr>
        <w:t>PUBLIC UTILITIES COMMISSION OF THE STATE OF CALIFORNIA</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outlineLvl w:val="0"/>
        <w:rPr>
          <w:b/>
          <w:sz w:val="24"/>
        </w:rPr>
      </w:pPr>
      <w:r>
        <w:rPr>
          <w:b/>
          <w:sz w:val="24"/>
        </w:rPr>
        <w:t xml:space="preserve">Investigation on the Commission’s Own Motion to </w:t>
        <w:tab/>
        <w:t>)</w:t>
      </w:r>
    </w:p>
    <w:p>
      <w:pPr>
        <w:pStyle w:val="Normal"/>
        <w:numPr>
          <w:ilvl w:val="0"/>
          <w:numId w:val="0"/>
        </w:numPr>
        <w:outlineLvl w:val="0"/>
        <w:rPr>
          <w:b/>
          <w:sz w:val="24"/>
        </w:rPr>
      </w:pPr>
      <w:r>
        <w:rPr>
          <w:b/>
          <w:sz w:val="24"/>
        </w:rPr>
        <w:t>Consider the Costs and Benefits of Various Promising</w:t>
        <w:tab/>
        <w:t>)</w:t>
        <w:tab/>
        <w:t>I.99-07-003</w:t>
      </w:r>
    </w:p>
    <w:p>
      <w:pPr>
        <w:pStyle w:val="Normal"/>
        <w:numPr>
          <w:ilvl w:val="0"/>
          <w:numId w:val="0"/>
        </w:numPr>
        <w:outlineLvl w:val="0"/>
        <w:rPr>
          <w:b/>
          <w:sz w:val="24"/>
        </w:rPr>
      </w:pPr>
      <w:r>
        <w:rPr>
          <w:b/>
          <w:sz w:val="24"/>
        </w:rPr>
        <w:t>Revisions to the Regulatory and Market Structure</w:t>
        <w:tab/>
        <w:t>)</w:t>
      </w:r>
    </w:p>
    <w:p>
      <w:pPr>
        <w:pStyle w:val="Normal"/>
        <w:numPr>
          <w:ilvl w:val="0"/>
          <w:numId w:val="0"/>
        </w:numPr>
        <w:outlineLvl w:val="0"/>
        <w:rPr>
          <w:b/>
          <w:sz w:val="24"/>
        </w:rPr>
      </w:pPr>
      <w:r>
        <w:rPr>
          <w:b/>
          <w:sz w:val="24"/>
        </w:rPr>
        <w:t xml:space="preserve">Governing California’s Natural Gas Industry and to </w:t>
        <w:tab/>
        <w:t>)</w:t>
      </w:r>
    </w:p>
    <w:p>
      <w:pPr>
        <w:pStyle w:val="Normal"/>
        <w:numPr>
          <w:ilvl w:val="0"/>
          <w:numId w:val="0"/>
        </w:numPr>
        <w:outlineLvl w:val="0"/>
        <w:rPr>
          <w:b/>
          <w:sz w:val="24"/>
        </w:rPr>
      </w:pPr>
      <w:r>
        <w:rPr>
          <w:b/>
          <w:sz w:val="24"/>
        </w:rPr>
        <w:t xml:space="preserve">Report to the California Legislature on the </w:t>
        <w:tab/>
        <w:tab/>
        <w:t>)</w:t>
      </w:r>
    </w:p>
    <w:p>
      <w:pPr>
        <w:pStyle w:val="Normal"/>
        <w:numPr>
          <w:ilvl w:val="0"/>
          <w:numId w:val="0"/>
        </w:numPr>
        <w:outlineLvl w:val="0"/>
        <w:rPr>
          <w:b/>
          <w:sz w:val="24"/>
        </w:rPr>
      </w:pPr>
      <w:r>
        <w:rPr>
          <w:b/>
          <w:sz w:val="24"/>
        </w:rPr>
        <w:t>Commission’s Findings</w:t>
        <w:tab/>
        <w:tab/>
        <w:tab/>
        <w:tab/>
        <w:tab/>
        <w:t>)</w:t>
      </w:r>
    </w:p>
    <w:p>
      <w:pPr>
        <w:pStyle w:val="Normal"/>
        <w:numPr>
          <w:ilvl w:val="0"/>
          <w:numId w:val="0"/>
        </w:numPr>
        <w:outlineLvl w:val="0"/>
        <w:rPr>
          <w:b/>
          <w:sz w:val="24"/>
        </w:rPr>
      </w:pPr>
      <w:r>
        <w:rPr>
          <w:b/>
          <w:sz w:val="24"/>
        </w:rPr>
        <w:t>________________________________________________)</w:t>
      </w:r>
    </w:p>
    <w:p>
      <w:pPr>
        <w:pStyle w:val="Normal"/>
        <w:numPr>
          <w:ilvl w:val="0"/>
          <w:numId w:val="0"/>
        </w:numP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Prepared Rebuttal Testimony of</w:t>
      </w:r>
    </w:p>
    <w:p>
      <w:pPr>
        <w:pStyle w:val="Normal"/>
        <w:numPr>
          <w:ilvl w:val="0"/>
          <w:numId w:val="0"/>
        </w:numPr>
        <w:jc w:val="center"/>
        <w:outlineLvl w:val="0"/>
        <w:rPr>
          <w:b/>
          <w:sz w:val="24"/>
        </w:rPr>
      </w:pPr>
      <w:r>
        <w:rPr>
          <w:b/>
          <w:sz w:val="24"/>
        </w:rPr>
        <w:t>Jeffrey Dasovich on Behalf of</w:t>
      </w:r>
    </w:p>
    <w:p>
      <w:pPr>
        <w:pStyle w:val="Normal"/>
        <w:numPr>
          <w:ilvl w:val="0"/>
          <w:numId w:val="0"/>
        </w:numPr>
        <w:jc w:val="center"/>
        <w:outlineLvl w:val="0"/>
        <w:rPr>
          <w:b/>
          <w:sz w:val="24"/>
        </w:rPr>
      </w:pPr>
      <w:r>
        <w:rPr>
          <w:b/>
          <w:sz w:val="24"/>
        </w:rPr>
        <w:t>Enron Energy Services Inc. and Enron North America</w:t>
      </w:r>
    </w:p>
    <w:p>
      <w:pPr>
        <w:pStyle w:val="Normal"/>
        <w:numPr>
          <w:ilvl w:val="0"/>
          <w:numId w:val="0"/>
        </w:numPr>
        <w:jc w:val="center"/>
        <w:outlineLvl w:val="0"/>
        <w:rPr>
          <w:b/>
          <w:sz w:val="24"/>
        </w:rPr>
      </w:pPr>
      <w:r>
        <w:rPr>
          <w:b/>
          <w:sz w:val="24"/>
        </w:rPr>
        <w:t>in Support of the Comprehensive Settlement Agreement</w:t>
      </w:r>
    </w:p>
    <w:p>
      <w:pPr>
        <w:pStyle w:val="Normal"/>
        <w:jc w:val="center"/>
        <w:rPr>
          <w:b/>
          <w:sz w:val="24"/>
        </w:rPr>
      </w:pPr>
      <w:r>
        <w:rPr>
          <w:b/>
          <w:sz w:val="24"/>
        </w:rPr>
      </w:r>
    </w:p>
    <w:p>
      <w:pPr>
        <w:pStyle w:val="Normal"/>
        <w:numPr>
          <w:ilvl w:val="0"/>
          <w:numId w:val="0"/>
        </w:numPr>
        <w:spacing w:lineRule="auto" w:line="360"/>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May 19, 2000</w:t>
      </w:r>
    </w:p>
    <w:p>
      <w:pPr>
        <w:pStyle w:val="Normal"/>
        <w:numPr>
          <w:ilvl w:val="0"/>
          <w:numId w:val="0"/>
        </w:numPr>
        <w:jc w:val="center"/>
        <w:outlineLvl w:val="0"/>
        <w:rPr>
          <w:b/>
          <w:sz w:val="24"/>
        </w:rPr>
      </w:pPr>
      <w:r>
        <w:rPr>
          <w:b/>
          <w:sz w:val="24"/>
        </w:rPr>
      </w:r>
    </w:p>
    <w:p>
      <w:pPr>
        <w:sectPr>
          <w:headerReference w:type="default" r:id="rId2"/>
          <w:headerReference w:type="first" r:id="rId3"/>
          <w:footerReference w:type="default" r:id="rId4"/>
          <w:footerReference w:type="first" r:id="rId5"/>
          <w:type w:val="nextPage"/>
          <w:pgSz w:w="12240" w:h="15840"/>
          <w:pgMar w:left="2088" w:right="720" w:gutter="0" w:header="432" w:top="1325" w:footer="360" w:bottom="1080"/>
          <w:pgNumType w:start="1" w:fmt="decimal"/>
          <w:formProt w:val="false"/>
          <w:titlePg/>
          <w:textDirection w:val="lrTb"/>
          <w:docGrid w:type="default" w:linePitch="360" w:charSpace="0"/>
        </w:sect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Prepared Rebuttal Testimony of </w:t>
      </w:r>
    </w:p>
    <w:p>
      <w:pPr>
        <w:pStyle w:val="Normal"/>
        <w:numPr>
          <w:ilvl w:val="0"/>
          <w:numId w:val="0"/>
        </w:numPr>
        <w:jc w:val="center"/>
        <w:outlineLvl w:val="0"/>
        <w:rPr>
          <w:b/>
          <w:sz w:val="24"/>
        </w:rPr>
      </w:pPr>
      <w:r>
        <w:rPr>
          <w:b/>
          <w:sz w:val="24"/>
        </w:rPr>
        <w:t>Jeffrey Dasovich on Behalf of</w:t>
      </w:r>
    </w:p>
    <w:p>
      <w:pPr>
        <w:pStyle w:val="Normal"/>
        <w:numPr>
          <w:ilvl w:val="0"/>
          <w:numId w:val="0"/>
        </w:numPr>
        <w:jc w:val="center"/>
        <w:outlineLvl w:val="0"/>
        <w:rPr>
          <w:b/>
          <w:sz w:val="24"/>
        </w:rPr>
      </w:pPr>
      <w:r>
        <w:rPr>
          <w:b/>
          <w:sz w:val="24"/>
        </w:rPr>
        <w:t xml:space="preserve">Enron Energy Services Inc. and Enron North America </w:t>
      </w:r>
    </w:p>
    <w:p>
      <w:pPr>
        <w:pStyle w:val="Normal"/>
        <w:numPr>
          <w:ilvl w:val="0"/>
          <w:numId w:val="0"/>
        </w:numPr>
        <w:jc w:val="center"/>
        <w:outlineLvl w:val="0"/>
        <w:rPr>
          <w:sz w:val="24"/>
        </w:rPr>
      </w:pPr>
      <w:r>
        <w:rPr>
          <w:b/>
          <w:sz w:val="24"/>
        </w:rPr>
        <w:t>in Support of the Comprehensive Settlement Agreement</w:t>
      </w:r>
    </w:p>
    <w:p>
      <w:pPr>
        <w:pStyle w:val="Normal"/>
        <w:jc w:val="center"/>
        <w:rPr>
          <w:sz w:val="24"/>
        </w:rPr>
      </w:pPr>
      <w:r>
        <w:rPr>
          <w:sz w:val="24"/>
        </w:rPr>
      </w:r>
    </w:p>
    <w:p>
      <w:pPr>
        <w:pStyle w:val="Normal"/>
        <w:numPr>
          <w:ilvl w:val="0"/>
          <w:numId w:val="0"/>
        </w:numPr>
        <w:jc w:val="center"/>
        <w:outlineLvl w:val="0"/>
        <w:rPr>
          <w:b/>
          <w:sz w:val="24"/>
        </w:rPr>
      </w:pPr>
      <w:r>
        <w:rPr>
          <w:b/>
          <w:sz w:val="24"/>
        </w:rPr>
        <w:t>I.99-07-003</w:t>
      </w:r>
    </w:p>
    <w:p>
      <w:pPr>
        <w:pStyle w:val="Normal"/>
        <w:rPr>
          <w:b/>
          <w:sz w:val="24"/>
        </w:rPr>
      </w:pPr>
      <w:r>
        <w:rPr>
          <w:b/>
          <w:sz w:val="24"/>
        </w:rPr>
      </w:r>
    </w:p>
    <w:p>
      <w:pPr>
        <w:pStyle w:val="Normal"/>
        <w:spacing w:lineRule="auto" w:line="360"/>
        <w:rPr>
          <w:sz w:val="24"/>
        </w:rPr>
      </w:pPr>
      <w:r>
        <w:rPr>
          <w:sz w:val="24"/>
        </w:rPr>
        <w:tab/>
        <w:t>My name is Jeffrey Dasovich.  I previously submitted Prepared Direct Testimony in this proceeding on behalf of Enron Energy Services Inc. and Enron North America (collectively referred to herein as “Enron”), identified as Exhibit 6, and served on May 5, 2000.   I hereby submit my testimony in rebuttal to the prepared direct testimony of TURN, Aglet, and the Southern California Generation Coalition and its component members.</w:t>
      </w:r>
    </w:p>
    <w:p>
      <w:pPr>
        <w:pStyle w:val="Normal"/>
        <w:rPr>
          <w:sz w:val="24"/>
        </w:rPr>
      </w:pPr>
      <w:r>
        <w:rPr>
          <w:sz w:val="24"/>
        </w:rPr>
      </w:r>
    </w:p>
    <w:p>
      <w:pPr>
        <w:pStyle w:val="Normal"/>
        <w:rPr>
          <w:b/>
          <w:i/>
          <w:i/>
          <w:sz w:val="24"/>
        </w:rPr>
      </w:pPr>
      <w:r>
        <w:rPr>
          <w:b/>
          <w:i/>
          <w:sz w:val="24"/>
        </w:rPr>
        <w:t>UNBUNDLED INTRASTATE TRANSPORTATION IS BENEFICIAL FOR ALL CUSTOMERS ON THE SOCALGAS SYSTEM</w:t>
      </w:r>
    </w:p>
    <w:p>
      <w:pPr>
        <w:pStyle w:val="Normal"/>
        <w:rPr>
          <w:b/>
          <w:i/>
          <w:i/>
          <w:sz w:val="24"/>
        </w:rPr>
      </w:pPr>
      <w:r>
        <w:rPr>
          <w:b/>
          <w:i/>
          <w:sz w:val="24"/>
        </w:rPr>
      </w:r>
    </w:p>
    <w:p>
      <w:pPr>
        <w:pStyle w:val="Normal"/>
        <w:spacing w:lineRule="auto" w:line="360"/>
        <w:rPr>
          <w:sz w:val="24"/>
        </w:rPr>
      </w:pPr>
      <w:r>
        <w:rPr>
          <w:sz w:val="24"/>
        </w:rPr>
        <w:tab/>
        <w:t xml:space="preserve">The Comprehensive Settlement Agreement provides for unbundled intrastate transmission as a key element of its restructuring proposals.  The Post-Interim Settlement advocated by TURN, Aglet, and the members of SCGC expressly prevents the development of a market for intrastate transmission capacity, and limits any change to the elimination of the current windowing protocols used by SoCalGas at receipt points during periods of congestion.  Prepared Direct Testimonies of Michel Florio, James Weil, and Catherine Yap in Support of the Post Interim Settlement Testimony (hereinafter “Post Interim Settlement Testimony” or “PIST”) at p.37, lines 10-27; p. 50, lines 7-19.  However useful it may be to eliminate windowing in the short run—and the Comprehensive Settlement replaces the windowing procedures with the use of full physical receipt point capacity—this very limited change will not provide customers with sufficient certainty to schedule their gas transportation requirements.   </w:t>
      </w:r>
    </w:p>
    <w:p>
      <w:pPr>
        <w:pStyle w:val="Normal"/>
        <w:spacing w:lineRule="auto" w:line="360"/>
        <w:ind w:firstLine="720" w:end="0"/>
        <w:rPr>
          <w:sz w:val="24"/>
        </w:rPr>
      </w:pPr>
      <w:r>
        <w:rPr>
          <w:sz w:val="24"/>
        </w:rPr>
        <w:t>The knowledge that SoCalGas will allow all nominated gas to be taken at a receipt point up to its full physical capacity will not provide a customer with sufficient certainty that its gas will be delivered.  Under the proposal offered by TURN, Aglet, and SCGC, all customers’ gas, including that of core customers, can and will be prorated back to a lower level of delivery if more nominations are received at that point than the receipt point can physically accept.  Indeed, the Post Interim Settlement supporters acknowledge that the “windowing” process will simply be transferred from SoCalGas to the upstream pipeline.  PIST at p. 38, lines 14-18.  In sum, the elimination of SoCalGas’ windowing procedures only marginally improves the status quo.</w:t>
      </w:r>
    </w:p>
    <w:p>
      <w:pPr>
        <w:pStyle w:val="Normal"/>
        <w:spacing w:lineRule="auto" w:line="360"/>
        <w:rPr/>
      </w:pPr>
      <w:r>
        <w:rPr>
          <w:sz w:val="24"/>
        </w:rPr>
        <w:tab/>
        <w:t xml:space="preserve">In stark contrast, the Comprehensive Settlement offers customers substantially greater certainty with respect to the delivery of their gas supplies.  This certainty stems from the fact that the Comprehensive Settlement offers multiple opportunities to obtain </w:t>
      </w:r>
      <w:r>
        <w:rPr>
          <w:sz w:val="24"/>
          <w:u w:val="single"/>
        </w:rPr>
        <w:t>firm</w:t>
      </w:r>
      <w:r>
        <w:rPr>
          <w:sz w:val="24"/>
        </w:rPr>
        <w:t xml:space="preserve"> transportation capacity on the SoCalGas intrastate system:  </w:t>
      </w:r>
    </w:p>
    <w:p>
      <w:pPr>
        <w:pStyle w:val="Normal"/>
        <w:numPr>
          <w:ilvl w:val="0"/>
          <w:numId w:val="1"/>
        </w:numPr>
        <w:rPr>
          <w:sz w:val="24"/>
        </w:rPr>
      </w:pPr>
      <w:r>
        <w:rPr>
          <w:sz w:val="24"/>
        </w:rPr>
        <w:t xml:space="preserve">Core customers retain the first call on receipt point capacity up to specified maximums at the receipt points where they have traditionally accepted gas from interstate capacity held on behalf of the core. </w:t>
      </w:r>
    </w:p>
    <w:p>
      <w:pPr>
        <w:pStyle w:val="Normal"/>
        <w:rPr>
          <w:sz w:val="24"/>
        </w:rPr>
      </w:pPr>
      <w:r>
        <w:rPr>
          <w:sz w:val="24"/>
        </w:rPr>
        <w:t xml:space="preserve"> </w:t>
      </w:r>
    </w:p>
    <w:p>
      <w:pPr>
        <w:pStyle w:val="Normal"/>
        <w:numPr>
          <w:ilvl w:val="0"/>
          <w:numId w:val="1"/>
        </w:numPr>
        <w:rPr>
          <w:sz w:val="24"/>
        </w:rPr>
      </w:pPr>
      <w:r>
        <w:rPr>
          <w:sz w:val="24"/>
        </w:rPr>
        <w:t xml:space="preserve">Existing noncore customers can acquire firm capacity to meet most or all of their requirements in the first two rounds of an open season, which will make available for bid up to 50% of the noncore capacity available at each receipt point is at stake.  </w:t>
      </w:r>
    </w:p>
    <w:p>
      <w:pPr>
        <w:pStyle w:val="Normal"/>
        <w:rPr>
          <w:sz w:val="24"/>
        </w:rPr>
      </w:pPr>
      <w:r>
        <w:rPr>
          <w:sz w:val="24"/>
        </w:rPr>
      </w:r>
    </w:p>
    <w:p>
      <w:pPr>
        <w:pStyle w:val="Normal"/>
        <w:numPr>
          <w:ilvl w:val="0"/>
          <w:numId w:val="1"/>
        </w:numPr>
        <w:rPr>
          <w:sz w:val="24"/>
        </w:rPr>
      </w:pPr>
      <w:r>
        <w:rPr>
          <w:sz w:val="24"/>
        </w:rPr>
        <w:t xml:space="preserve">Customers and any other market participant may bid for the remaining capacity in the third round of the open season. </w:t>
      </w:r>
    </w:p>
    <w:p>
      <w:pPr>
        <w:pStyle w:val="Normal"/>
        <w:rPr>
          <w:sz w:val="24"/>
        </w:rPr>
      </w:pPr>
      <w:r>
        <w:rPr>
          <w:sz w:val="24"/>
        </w:rPr>
      </w:r>
    </w:p>
    <w:p>
      <w:pPr>
        <w:pStyle w:val="Normal"/>
        <w:numPr>
          <w:ilvl w:val="0"/>
          <w:numId w:val="1"/>
        </w:numPr>
        <w:rPr>
          <w:sz w:val="24"/>
        </w:rPr>
      </w:pPr>
      <w:r>
        <w:rPr>
          <w:sz w:val="24"/>
        </w:rPr>
        <w:t>Any market participant may acquire capacity left unsold in the open season by negotiating an as-available contract with SoCalGas.  In addition, all customers, including the core, may seek to dispose of or acquire capacity in secondary market transactions.</w:t>
      </w:r>
    </w:p>
    <w:p>
      <w:pPr>
        <w:pStyle w:val="Normal"/>
        <w:rPr>
          <w:sz w:val="24"/>
        </w:rPr>
      </w:pPr>
      <w:r>
        <w:rPr>
          <w:sz w:val="24"/>
        </w:rPr>
        <w:t xml:space="preserve">  </w:t>
      </w:r>
    </w:p>
    <w:p>
      <w:pPr>
        <w:pStyle w:val="Normal"/>
        <w:spacing w:lineRule="auto" w:line="360"/>
        <w:ind w:firstLine="720" w:end="0"/>
        <w:rPr>
          <w:sz w:val="24"/>
        </w:rPr>
      </w:pPr>
      <w:r>
        <w:rPr>
          <w:sz w:val="24"/>
        </w:rPr>
        <w:t>The open season format for intrastate capacity included in the Comprehensive Settlement allows customers to obtain firm capacity at a receipt point, and to use that capacity, without the uncertainty that further pro-rationing might occur.  This enhanced level of certainty is only available under a system of unbundled intrastate transmission rights, such as that proposed in the Comprehensive Settlement.  The Post-Interim Settlement would deny southern California customers and shippers, including core customers, the current level of certainty and increased reliability that northern California customers are taking advantage of on a daily basis.</w:t>
      </w:r>
    </w:p>
    <w:p>
      <w:pPr>
        <w:pStyle w:val="Normal"/>
        <w:rPr>
          <w:sz w:val="24"/>
        </w:rPr>
      </w:pPr>
      <w:r>
        <w:rPr>
          <w:sz w:val="24"/>
        </w:rPr>
      </w:r>
    </w:p>
    <w:p>
      <w:pPr>
        <w:pStyle w:val="Normal"/>
        <w:rPr>
          <w:sz w:val="24"/>
        </w:rPr>
      </w:pPr>
      <w:r>
        <w:rPr>
          <w:sz w:val="24"/>
        </w:rPr>
      </w:r>
    </w:p>
    <w:p>
      <w:pPr>
        <w:pStyle w:val="Normal"/>
        <w:rPr>
          <w:sz w:val="24"/>
        </w:rPr>
      </w:pPr>
      <w:r>
        <w:rPr>
          <w:b/>
          <w:i/>
          <w:sz w:val="24"/>
        </w:rPr>
        <w:t>THE POST INTERIM SETTLEMENT IS INCONSISTENT WITH THE PG&amp;E SETTLEMENT RECENTLY ADOPTED BY THE COMMISSION AND WOULD DENY CUSTOMERS AND OTHER MARKET PARTICIPANTS THE BENEFITS OF STATEWIDE CONSISTENCY IN GAS REGULATION</w:t>
      </w:r>
    </w:p>
    <w:p>
      <w:pPr>
        <w:pStyle w:val="Normal"/>
        <w:rPr>
          <w:sz w:val="24"/>
        </w:rPr>
      </w:pPr>
      <w:r>
        <w:rPr>
          <w:sz w:val="24"/>
        </w:rPr>
      </w:r>
    </w:p>
    <w:p>
      <w:pPr>
        <w:pStyle w:val="Normal"/>
        <w:spacing w:lineRule="auto" w:line="360"/>
        <w:rPr>
          <w:sz w:val="24"/>
        </w:rPr>
      </w:pPr>
      <w:r>
        <w:rPr>
          <w:sz w:val="24"/>
        </w:rPr>
        <w:tab/>
        <w:t xml:space="preserve">On May 18, 2000, the Commission unanimously approved the Comprehensive Gas OII Settlement Agreement proposed by PG&amp;E and numerous other parties, including TURN and Aglet and the Northern California Generation Coalition.  Enron was directly involved in the negotiations and supports the settlement. The Post Interim Settlement conflicts significantly with the PG&amp;E Comprehensive Gas OII Settlement Agreement and the PG&amp;E Gas Accord on the key elements of unbundled intrastate transportation, unbundled storage, and unbundled balancing. This inconsistency would have adverse consequences for gas customers in California.   </w:t>
      </w:r>
    </w:p>
    <w:p>
      <w:pPr>
        <w:pStyle w:val="Normal"/>
        <w:spacing w:lineRule="auto" w:line="360"/>
        <w:ind w:firstLine="720" w:end="0"/>
        <w:rPr>
          <w:sz w:val="24"/>
        </w:rPr>
      </w:pPr>
      <w:r>
        <w:rPr>
          <w:sz w:val="24"/>
        </w:rPr>
        <w:t>There are a large number of customers, producers, generators, and gas and electric marketers engaged in commerce in both northern and southern California.  Consequently, these market participants must transact business on both the PG&amp;E and SoCalGas systems.  The economic benefits that result from having  consistency across utility systems are real and must not be overlooked.  Absent a fully unbundled system, a customer has only one viable choice: to take bundled service from the utility. Unfortunately, the bundled service may not coincide with the customer’s specific and unique requirements. This is the situation customers currently face when using the SoCalGas system.</w:t>
      </w:r>
    </w:p>
    <w:p>
      <w:pPr>
        <w:pStyle w:val="Normal"/>
        <w:spacing w:lineRule="auto" w:line="360"/>
        <w:rPr>
          <w:sz w:val="24"/>
        </w:rPr>
      </w:pPr>
      <w:r>
        <w:rPr>
          <w:sz w:val="24"/>
        </w:rPr>
        <w:tab/>
        <w:t>There is another clear advantage of having consistent, fully unbundled systems for PG&amp;E and SoCalGas.  Consistency will permit customers and marketers to develop a single set of planning criteria and procedures for determining how much gas to schedule and what capacity to obtain in each of the available markets.  This saves customers and suppliers time and money.  To cling to the existing system (with minor modifications to scheduling protocols) as proposed by TURN, Aglet and SCGC, would force end users and marketers with demand on both the PG&amp;E and SoCalGas systems to develop different tools and estimate its requirements differently on each of the two systems. Market participants would have no other choice, because it would be necessary to account for the uncertainty associated with the prorationing of capacity into SoCalGas’ system, while facing no such prorationing on the PG&amp;E system.</w:t>
      </w:r>
    </w:p>
    <w:p>
      <w:pPr>
        <w:pStyle w:val="Normal"/>
        <w:spacing w:lineRule="auto" w:line="360"/>
        <w:rPr>
          <w:sz w:val="24"/>
        </w:rPr>
      </w:pPr>
      <w:r>
        <w:rPr>
          <w:sz w:val="24"/>
        </w:rPr>
        <w:tab/>
        <w:t xml:space="preserve">Supporters of the Post Interim Settlement fall short in their attempts to draw a valid distinction between the PG&amp;E and SoCalGas systems in order to justify dramatically different transmission capacity allocation schemes for each.  PIST at p. 8, lines 14-23.  PG&amp;E has two distinct backbone transmission paths leading to its load center, one from the Oregon border and one from the Colorado River.  Similarly, SoCalGas operates large high pressure intrastate transmission lines which interconnect with several interstate pipelines at the Colorado, and a large intrastate transmission system which interconnects with two interstate pipelines and a local distribution company at the north end of its system (Wheeler Ridge).  Both utilities use substantial intrastate transmission facilities connected at distant receipt points to bring gas from a variety of interstate pipelines and gas supply regions to their load centers.  </w:t>
      </w:r>
    </w:p>
    <w:p>
      <w:pPr>
        <w:pStyle w:val="Normal"/>
        <w:spacing w:lineRule="auto" w:line="360"/>
        <w:ind w:firstLine="720" w:end="0"/>
        <w:rPr>
          <w:sz w:val="24"/>
        </w:rPr>
      </w:pPr>
      <w:r>
        <w:rPr>
          <w:sz w:val="24"/>
        </w:rPr>
        <w:t>The advocates of the Post Interim Settlement allude to the network-like aspects of SoCalGas’ Los Angeles basin system.  PG&amp;E has similar and equally extensive gas distribution networks in the Bay Area and the Sacramento Valley.  These characteristics are common to both utilities, and distinctions that might exist are minor and provide no justification for increasing costs and uncertainty for California’s gas consumers.</w:t>
      </w:r>
    </w:p>
    <w:p>
      <w:pPr>
        <w:pStyle w:val="Normal"/>
        <w:spacing w:lineRule="auto" w:line="360"/>
        <w:ind w:firstLine="720" w:end="0"/>
        <w:rPr>
          <w:sz w:val="24"/>
        </w:rPr>
      </w:pPr>
      <w:r>
        <w:rPr>
          <w:sz w:val="24"/>
        </w:rPr>
        <w:t>Similarly structured, fully unbundled intrastate transmission systems can and will work effectively in both utilities’ service territories.  Consistent, fully unbundled systems will permit customers to rely on the same basic framework for gas service throughout the state, and give customers the option and the ability to obtain the capacity necessary to tailor service to meet their specific requirements.  At the same time, such customers will also have the option to retain another party to manage capacity requirements for them.  As explained in more detail by the Rebuttal Testimony of R. Thomas Beach, these options provide customers with the opportunity to  reduce costs--they do not impose increased costs on customers.  The Commission should, therefore, adopt similar transmission, storage and balancing capacity rights on both utilities’ systems.</w:t>
      </w:r>
    </w:p>
    <w:p>
      <w:pPr>
        <w:pStyle w:val="Normal"/>
        <w:spacing w:lineRule="auto" w:line="360"/>
        <w:rPr>
          <w:sz w:val="24"/>
        </w:rPr>
      </w:pPr>
      <w:r>
        <w:rPr>
          <w:sz w:val="24"/>
        </w:rPr>
      </w:r>
    </w:p>
    <w:p>
      <w:pPr>
        <w:pStyle w:val="Normal"/>
        <w:rPr>
          <w:b/>
          <w:i/>
          <w:i/>
          <w:sz w:val="24"/>
        </w:rPr>
      </w:pPr>
      <w:r>
        <w:rPr>
          <w:b/>
          <w:i/>
          <w:sz w:val="24"/>
        </w:rPr>
        <w:t>THE TESTIMONY SUPPORTING THE POST INTERIM SETTLEMENT IGNORES THE BENEFICIAL ROLE GAS MARKETERS PLAY IN CALIFORNIA AND ACROSS THE COUNTRY</w:t>
      </w:r>
    </w:p>
    <w:p>
      <w:pPr>
        <w:pStyle w:val="Normal"/>
        <w:spacing w:lineRule="auto" w:line="360"/>
        <w:rPr>
          <w:b/>
          <w:i/>
          <w:i/>
          <w:sz w:val="24"/>
        </w:rPr>
      </w:pPr>
      <w:r>
        <w:rPr>
          <w:b/>
          <w:i/>
          <w:sz w:val="24"/>
        </w:rPr>
      </w:r>
    </w:p>
    <w:p>
      <w:pPr>
        <w:pStyle w:val="Normal"/>
        <w:spacing w:lineRule="auto" w:line="360"/>
        <w:ind w:firstLine="720" w:end="0"/>
        <w:rPr>
          <w:sz w:val="24"/>
        </w:rPr>
      </w:pPr>
      <w:r>
        <w:rPr>
          <w:sz w:val="24"/>
        </w:rPr>
        <w:t xml:space="preserve">The interests of both marketers and customers are aligned with respect to the benefits that the Comprehensive Settlement will provide to users of the SoCalGas system.  The proponents of the Post Interim Settlement attempt to drive a wedge between the interests of consumers and marketers by asserting that marketers will benefit from unbundling while customers will not.  PIST at pp. 13-16.   However, TURN, Aglet and SCGC err in their description of the effects of unbundled transportation on gas markets, and significantly misinterpret the experience with unbundled transportation on the PG&amp;E system.  These assertions provide no basis for rejecting the Comprehensive Settlement.  </w:t>
      </w:r>
    </w:p>
    <w:p>
      <w:pPr>
        <w:pStyle w:val="Normal"/>
        <w:spacing w:lineRule="auto" w:line="360"/>
        <w:ind w:firstLine="720" w:end="0"/>
        <w:rPr>
          <w:sz w:val="24"/>
        </w:rPr>
      </w:pPr>
      <w:r>
        <w:rPr>
          <w:sz w:val="24"/>
        </w:rPr>
        <w:t xml:space="preserve">The Post Interim Settlement’s proponents suggest that a citygate market creates a bottleneck which may increase costs.  PIST at p. 14, lines 3-10.   However, the evidence of market prices on the PG&amp;E system directly contradicts this conclusion.  As Mr. Beach’s testimony clearly shows, citygate prices have averaged less than the border price of gas combined with the tariffed intrastate rate on PG&amp;E’s system.  Prepared Direct Testimony of R. Thomas Beach, Exhibit 5, p. 4-5, Figure 1.  In short, the evidence disproves the assertion that there have been no “substantial or persistent” savings over time.  </w:t>
      </w:r>
    </w:p>
    <w:p>
      <w:pPr>
        <w:pStyle w:val="Normal"/>
        <w:spacing w:lineRule="auto" w:line="360"/>
        <w:rPr>
          <w:sz w:val="24"/>
        </w:rPr>
      </w:pPr>
      <w:r>
        <w:rPr>
          <w:sz w:val="24"/>
        </w:rPr>
        <w:t xml:space="preserve">The supporters of the Post Interim Settlement also assert that noncore end users have not contracted for capacity on the PG&amp;E system owing to excessive transaction costs.  PIST at p. 16, lines 1-6.  The evidence cited in the Post Interim Settlement Testimony is a statement from a single municipal utility (the City of Redding).  The City of Redding notes that it is lacks the resources necessary to monitor both gas and electric market transactions.  The testimony does not directly state, however, that the actual costs associated with specific gas transportation transactions are high.  </w:t>
      </w:r>
    </w:p>
    <w:p>
      <w:pPr>
        <w:pStyle w:val="Normal"/>
        <w:spacing w:lineRule="auto" w:line="360"/>
        <w:ind w:firstLine="720" w:end="0"/>
        <w:rPr>
          <w:sz w:val="24"/>
        </w:rPr>
      </w:pPr>
      <w:r>
        <w:rPr>
          <w:sz w:val="24"/>
        </w:rPr>
        <w:t>Nor does experience support the claim of excessively high transaction costs in the existing PG&amp;E citygate market.  PG&amp;E citygate prices recorded to date reveal that customers do not pay additional transaction charges or demand charges when they buy at the citygate.   The availability of firm transmission, storage and balancing rights in multiple primary and secondary markets enhances customers’ ability to meet their requirements at a reasonable cost.</w:t>
      </w:r>
    </w:p>
    <w:p>
      <w:pPr>
        <w:pStyle w:val="Normal"/>
        <w:spacing w:lineRule="auto" w:line="360"/>
        <w:rPr/>
      </w:pPr>
      <w:r>
        <w:rPr>
          <w:sz w:val="24"/>
        </w:rPr>
        <w:tab/>
        <w:t xml:space="preserve">Equally without support is the claim made by the proponents of the Post Interim Settlement that marketers who hold capacity rights in place of customers will increase prices by charging their customers a premium for capacity.  PIST at p. 14, lines 11-15.  This contention also directly conflicts with the pricing evidence contained in the testimony of Mr. Beach that citygate prices on the PG&amp;E system have been equal to or less than border prices plus transportation.  Beach, </w:t>
      </w:r>
      <w:r>
        <w:rPr>
          <w:sz w:val="24"/>
          <w:u w:val="single"/>
        </w:rPr>
        <w:t>supra.</w:t>
      </w:r>
      <w:r>
        <w:rPr>
          <w:sz w:val="24"/>
        </w:rPr>
        <w:t xml:space="preserve">  Indeed, marketers on the PG&amp;E system have reduced customers’ exposure to risk from long term capacity commitments.</w:t>
      </w:r>
    </w:p>
    <w:p>
      <w:pPr>
        <w:pStyle w:val="Normal"/>
        <w:spacing w:lineRule="auto" w:line="360"/>
        <w:ind w:firstLine="720" w:end="0"/>
        <w:rPr>
          <w:sz w:val="24"/>
        </w:rPr>
      </w:pPr>
      <w:r>
        <w:rPr>
          <w:sz w:val="24"/>
        </w:rPr>
        <w:t xml:space="preserve">The assertion made by the supporters of the Post Interim Settlement that end users are limited and disadvantaged by a system that gives customers have more choices conflicts directly with the actions of the City of Glendale, one of the members of SCUPP.  Glendale has recently contracted with PG&amp;E to purchase an undivided interest in PG&amp;E’s Line 401, a recently constructed backbone transmission line that interconnects with pipelines bringing Canadian gas to northern California.  The application to permit this purchase under Section 851 is now before the Commission.  See A.00-02-009, filed February 9, 2000.  Purchasing equity in a pipeline represents a substantially more binding commitment than a commitment to pay demand charges for a portion of the customer’s capacity needs.   </w:t>
      </w:r>
    </w:p>
    <w:p>
      <w:pPr>
        <w:pStyle w:val="Normal"/>
        <w:spacing w:lineRule="auto" w:line="360"/>
        <w:ind w:firstLine="720" w:end="0"/>
        <w:rPr>
          <w:sz w:val="24"/>
        </w:rPr>
      </w:pPr>
      <w:r>
        <w:rPr>
          <w:sz w:val="24"/>
        </w:rPr>
        <w:t xml:space="preserve">In essence, one of SCUPP’s members has voluntarily agreed to “lock into” intrastate pipeline capacity.   It is unclear why the deep concerns expressed in the Post Interim Settlement Testimony over the alleged increased costs of firm capacity commitments do  not extend to Glendale’s voluntary deal with PG&amp;E.    Likewise it is unclear why Glendale has voluntarily agreed to manage its own capacity through the PG&amp;E deal if, as the Post Interim Settlement Testimony claims (PIST at p. 16, lines 1-6.), doing so would create substantial additional transaction costs.  The testimony offered by the proponents of the Post Interim Settlement appears to differ markedly from their actions in the marketplace. </w:t>
      </w:r>
    </w:p>
    <w:p>
      <w:pPr>
        <w:pStyle w:val="Normal"/>
        <w:spacing w:lineRule="auto" w:line="360"/>
        <w:rPr/>
      </w:pPr>
      <w:r>
        <w:rPr>
          <w:sz w:val="24"/>
        </w:rPr>
        <w:tab/>
        <w:t xml:space="preserve">The vast majority of customers (who are supporters of the Comprehensive Settlement) want more choices. They want the </w:t>
      </w:r>
      <w:r>
        <w:rPr>
          <w:b/>
          <w:i/>
          <w:sz w:val="24"/>
        </w:rPr>
        <w:t>option</w:t>
      </w:r>
      <w:r>
        <w:rPr>
          <w:sz w:val="24"/>
        </w:rPr>
        <w:t xml:space="preserve"> of managing their own capacity rights and arranging for their own gas supplies.  Customers are also aware of and want the option to contract with another party to manage some or all of their gas requirements.  These are choices and options that every other business in every other competitive market benefits from  every day.  Customers benefit from these additional choices by having marketers compete aggressively to offer them lower prices and better services, and by retaining the option to “do it themselves” if they desire.  Marketers benefit by having the privilege to compete to offer lower priced, higher quality services. These benefits are recognized in California, in states across the country, and in the nation's interstate gas pipeline markets.</w:t>
      </w:r>
    </w:p>
    <w:p>
      <w:pPr>
        <w:pStyle w:val="Normal"/>
        <w:spacing w:lineRule="auto" w:line="360"/>
        <w:rPr>
          <w:sz w:val="24"/>
        </w:rPr>
      </w:pPr>
      <w:r>
        <w:rPr>
          <w:sz w:val="24"/>
        </w:rPr>
        <w:tab/>
        <w:t xml:space="preserve">The experience with the unbundled PG&amp;E transmission system demonstrates that marketers perform an important and a positive role.  Marketers offer specialized products and services, and bring buyers and sellers together in transactions that provide mutual benefit.   Contrary to the assertion in the Post Interim Settlement Testimony, marketers are not the only or primary beneficiaries of transmission unbundling.  It is customers who benefit.  The only marketers who benefit are the ones that devise ways to deliver those benefits to customers efficiently and effectively. </w:t>
      </w:r>
    </w:p>
    <w:p>
      <w:pPr>
        <w:pStyle w:val="Normal"/>
        <w:spacing w:lineRule="auto" w:line="360"/>
        <w:rPr>
          <w:sz w:val="24"/>
        </w:rPr>
      </w:pPr>
      <w:r>
        <w:rPr>
          <w:sz w:val="24"/>
        </w:rPr>
        <w:tab/>
        <w:t>This concludes my rebuttal testimony.</w:t>
      </w:r>
    </w:p>
    <w:p>
      <w:pPr>
        <w:pStyle w:val="Normal"/>
        <w:spacing w:lineRule="exact" w:line="200" w:before="240" w:after="0"/>
        <w:rPr/>
      </w:pPr>
      <w:r>
        <w:rPr>
          <w:rStyle w:val="zzmpTrailerItem"/>
        </w:rPr>
        <w:t>2715/016/DASOVI~1</w:t>
      </w:r>
      <w:r>
        <w:rPr/>
        <w:t xml:space="preserve"> </w:t>
      </w:r>
    </w:p>
    <w:sectPr>
      <w:headerReference w:type="default" r:id="rId6"/>
      <w:headerReference w:type="first" r:id="rId7"/>
      <w:footerReference w:type="default" r:id="rId8"/>
      <w:footerReference w:type="first" r:id="rId9"/>
      <w:type w:val="nextPage"/>
      <w:pgSz w:w="12240" w:h="15840"/>
      <w:pgMar w:left="2088" w:right="720" w:gutter="0" w:header="432" w:top="1325"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r>
    <w:r>
      <w:rPr/>
      <w:fldChar w:fldCharType="begin"/>
    </w:r>
    <w:r>
      <w:rPr/>
      <w:instrText xml:space="preserve"> PAGE \* ARABIC </w:instrText>
    </w:r>
    <w:r>
      <w:rPr/>
      <w:fldChar w:fldCharType="separate"/>
    </w:r>
    <w:r>
      <w:rPr/>
      <w:t>0</w:t>
    </w:r>
    <w:r>
      <w:rPr/>
      <w:fldChar w:fldCharType="end"/>
    </w:r>
    <w:r>
      <w:rPr/>
      <w:t>.</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r>
    <w:r>
      <w:rPr/>
      <w:fldChar w:fldCharType="begin"/>
    </w:r>
    <w:r>
      <w:rPr/>
      <w:instrText xml:space="preserve"> PAGE \* ARABIC </w:instrText>
    </w:r>
    <w:r>
      <w:rPr/>
      <w:fldChar w:fldCharType="separate"/>
    </w:r>
    <w:r>
      <w:rPr/>
      <w:t>6</w:t>
    </w:r>
    <w:r>
      <w:rPr/>
      <w:fldChar w:fldCharType="end"/>
    </w:r>
    <w:r>
      <w:rPr/>
      <w:t>.</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541770" cy="14605"/>
              <wp:effectExtent l="0" t="0" r="0" b="0"/>
              <wp:wrapNone/>
              <wp:docPr id="1" name="Frame2"/>
              <a:graphic xmlns:a="http://schemas.openxmlformats.org/drawingml/2006/main">
                <a:graphicData uri="http://schemas.microsoft.com/office/word/2010/wordprocessingShape">
                  <wps:wsp>
                    <wps:cNvSpPr txBox="1"/>
                    <wps:spPr>
                      <a:xfrm>
                        <a:off x="0" y="0"/>
                        <a:ext cx="6541770" cy="14605"/>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posOffset>635</wp:posOffset>
              </wp:positionV>
              <wp:extent cx="6541770" cy="9448800"/>
              <wp:effectExtent l="0" t="0" r="0" b="0"/>
              <wp:wrapNone/>
              <wp:docPr id="2" name="Frame1"/>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6541770" cy="9448800"/>
              <wp:effectExtent l="0" t="0" r="0" b="0"/>
              <wp:wrapNone/>
              <wp:docPr id="3" name="Frame4"/>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7">
              <wp:simplePos x="0" y="0"/>
              <wp:positionH relativeFrom="column">
                <wp:align>left</wp:align>
              </wp:positionH>
              <wp:positionV relativeFrom="line">
                <wp:posOffset>635</wp:posOffset>
              </wp:positionV>
              <wp:extent cx="6541770" cy="9448800"/>
              <wp:effectExtent l="0" t="0" r="0" b="0"/>
              <wp:wrapNone/>
              <wp:docPr id="4" name="Frame3"/>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iTrailerType" w:val="1"/>
    <w:docVar w:name="zzmpFixed_PleadingPaperType" w:val="PP28None"/>
    <w:docVar w:name="zzmpFixedDOC_ID" w:val="2715/016/DASOVI~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i/>
      <w:caps/>
      <w:shadow/>
      <w:emboss/>
      <w:vanish/>
      <w:color w:val="auto"/>
      <w:spacing w:val="0"/>
      <w:position w:val="0"/>
      <w:sz w:val="16"/>
      <w:sz w:val="16"/>
      <w:u w:val="none"/>
      <w:effect w:val="blinkBackground"/>
      <w:vertAlign w:val="baseline"/>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exact" w:line="240"/>
    </w:pPr>
    <w:rPr/>
  </w:style>
  <w:style w:type="paragraph" w:styleId="Header">
    <w:name w:val="header"/>
    <w:basedOn w:val="Normal"/>
    <w:pPr>
      <w:tabs>
        <w:tab w:val="clear" w:pos="720"/>
        <w:tab w:val="center" w:pos="4320" w:leader="none"/>
        <w:tab w:val="right" w:pos="8640" w:leader="none"/>
      </w:tabs>
    </w:pPr>
    <w:rPr/>
  </w:style>
  <w:style w:type="paragraph" w:styleId="BodyTextContinued">
    <w:name w:val="Body Text Continued"/>
    <w:basedOn w:val="BodyText"/>
    <w:next w:val="BodyText"/>
    <w:qFormat/>
    <w:pPr>
      <w:ind w:hanging="0" w:start="0" w:end="0"/>
    </w:pPr>
    <w:rPr/>
  </w:style>
  <w:style w:type="paragraph" w:styleId="DocumentMap">
    <w:name w:val="Document Map"/>
    <w:basedOn w:val="Normal"/>
    <w:qFormat/>
    <w:pPr>
      <w:shd w:fill="000080" w:val="clear"/>
    </w:pPr>
    <w:rPr>
      <w:rFonts w:ascii="Tahoma" w:hAnsi="Tahoma" w:cs="Tahoma"/>
    </w:rPr>
  </w:style>
  <w:style w:type="paragraph" w:styleId="HeaderNumbers">
    <w:name w:val="HeaderNumbers"/>
    <w:basedOn w:val="Normal"/>
    <w:qFormat/>
    <w:pPr>
      <w:spacing w:lineRule="exact" w:line="480" w:before="720" w:after="0"/>
      <w:ind w:hanging="0" w:start="0" w:end="144"/>
      <w:jc w:val="end"/>
    </w:pPr>
    <w:rPr>
      <w:rFonts w:ascii="Bookman Old Style" w:hAnsi="Bookman Old Style" w:cs="Bookman Old Style"/>
      <w:sz w:val="24"/>
      <w:lang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2000-05-19T14:07:00Z</dcterms:created>
  <dc:creator>jdasovic</dc:creator>
  <dc:description/>
  <dc:language>en-CA</dc:language>
  <cp:lastModifiedBy>Michael B. Day</cp:lastModifiedBy>
  <cp:lastPrinted>2000-05-18T17:16:00Z</cp:lastPrinted>
  <dcterms:modified xsi:type="dcterms:W3CDTF">2000-05-19T14:07:00Z</dcterms:modified>
  <cp:revision>2</cp:revision>
  <dc:subject/>
  <dc:title/>
</cp:coreProperties>
</file>