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720"/>
        <w:jc w:val="center"/>
        <w:rPr/>
      </w:pPr>
      <w:r>
        <w:rPr/>
        <w:t>JEFFREY DASOVICH</w:t>
      </w:r>
    </w:p>
    <w:p>
      <w:pPr>
        <w:pStyle w:val="Normal"/>
        <w:ind w:end="-720"/>
        <w:jc w:val="center"/>
        <w:rPr/>
      </w:pPr>
      <w:r>
        <w:rPr/>
        <w:t>366 Dolores Street, #3</w:t>
      </w:r>
    </w:p>
    <w:p>
      <w:pPr>
        <w:pStyle w:val="Normal"/>
        <w:ind w:end="-720"/>
        <w:jc w:val="center"/>
        <w:rPr/>
      </w:pPr>
      <w:r>
        <w:rPr/>
        <w:t>San Francisco, California 94110</w:t>
      </w:r>
    </w:p>
    <w:p>
      <w:pPr>
        <w:pStyle w:val="Normal"/>
        <w:ind w:end="-720"/>
        <w:jc w:val="center"/>
        <w:rPr/>
      </w:pPr>
      <w:r>
        <w:rPr/>
        <w:t>(415) 621-8317</w:t>
      </w:r>
    </w:p>
    <w:p>
      <w:pPr>
        <w:pStyle w:val="Normal"/>
        <w:ind w:end="-720"/>
        <w:jc w:val="center"/>
        <w:rPr/>
      </w:pPr>
      <w:r>
        <w:rPr/>
        <w:t>jdasovich@sbcglobal.net</w:t>
      </w:r>
    </w:p>
    <w:p>
      <w:pPr>
        <w:pStyle w:val="Normal"/>
        <w:ind w:end="-720"/>
        <w:jc w:val="center"/>
        <w:rPr/>
      </w:pPr>
      <w:r>
        <w:rPr/>
      </w:r>
    </w:p>
    <w:p>
      <w:pPr>
        <w:pStyle w:val="Normal"/>
        <w:ind w:end="-720"/>
        <w:jc w:val="center"/>
        <w:rPr/>
      </w:pPr>
      <w:r>
        <w:rPr/>
      </w:r>
    </w:p>
    <w:p>
      <w:pPr>
        <w:pStyle w:val="Normal"/>
        <w:ind w:end="-720"/>
        <w:rPr/>
      </w:pPr>
      <w:r>
        <w:rPr/>
        <w:t>OBJECTIVE</w:t>
      </w:r>
    </w:p>
    <w:p>
      <w:pPr>
        <w:pStyle w:val="Normal"/>
        <w:ind w:end="-720"/>
        <w:rPr/>
      </w:pPr>
      <w:r>
        <w:rPr/>
      </w:r>
    </w:p>
    <w:p>
      <w:pPr>
        <w:pStyle w:val="Normal"/>
        <w:ind w:end="-720"/>
        <w:rPr/>
      </w:pPr>
      <w:r>
        <w:rPr/>
      </w:r>
    </w:p>
    <w:p>
      <w:pPr>
        <w:pStyle w:val="Normal"/>
        <w:ind w:end="-720"/>
        <w:rPr/>
      </w:pPr>
      <w:r>
        <w:rPr/>
        <w:t>EDUCATION</w:t>
        <w:tab/>
        <w:tab/>
      </w:r>
      <w:r>
        <w:rPr>
          <w:i/>
          <w:iCs/>
        </w:rPr>
        <w:t>MBA University of California, Berkeley, CA</w:t>
      </w:r>
    </w:p>
    <w:p>
      <w:pPr>
        <w:pStyle w:val="Normal"/>
        <w:ind w:end="-720"/>
        <w:rPr/>
      </w:pPr>
      <w:r>
        <w:rPr/>
        <w:tab/>
        <w:tab/>
        <w:tab/>
        <w:t>Haas School of Business</w:t>
      </w:r>
    </w:p>
    <w:p>
      <w:pPr>
        <w:pStyle w:val="Normal"/>
        <w:ind w:end="-720"/>
        <w:rPr/>
      </w:pPr>
      <w:r>
        <w:rPr/>
        <w:tab/>
        <w:tab/>
        <w:tab/>
        <w:t>Emphasis in Finance</w:t>
      </w:r>
    </w:p>
    <w:p>
      <w:pPr>
        <w:pStyle w:val="Normal"/>
        <w:ind w:end="-720"/>
        <w:rPr/>
      </w:pPr>
      <w:r>
        <w:rPr/>
        <w:tab/>
        <w:tab/>
        <w:tab/>
      </w:r>
      <w:r>
        <w:rPr>
          <w:i/>
          <w:iCs/>
        </w:rPr>
        <w:t>Master of Public Policy, University of California, Berkeley, CA</w:t>
      </w:r>
    </w:p>
    <w:p>
      <w:pPr>
        <w:pStyle w:val="Normal"/>
        <w:ind w:firstLine="720" w:start="1440" w:end="-720"/>
        <w:rPr/>
      </w:pPr>
      <w:r>
        <w:rPr/>
        <w:t>Goldman School of Public Policy</w:t>
      </w:r>
    </w:p>
    <w:p>
      <w:pPr>
        <w:pStyle w:val="Normal"/>
        <w:ind w:firstLine="720" w:start="1440" w:end="-720"/>
        <w:rPr/>
      </w:pPr>
      <w:r>
        <w:rPr/>
        <w:t>Samual C. May Fellow</w:t>
      </w:r>
    </w:p>
    <w:p>
      <w:pPr>
        <w:pStyle w:val="Normal"/>
        <w:ind w:firstLine="720" w:start="1440" w:end="-720"/>
        <w:rPr/>
      </w:pPr>
      <w:r>
        <w:rPr/>
        <w:t>Emphasis in Energy Policy</w:t>
      </w:r>
    </w:p>
    <w:p>
      <w:pPr>
        <w:pStyle w:val="Heading2"/>
        <w:rPr/>
      </w:pPr>
      <w:r>
        <w:rPr/>
        <w:t>University of Paris (Paris IV), Paris, France</w:t>
      </w:r>
    </w:p>
    <w:p>
      <w:pPr>
        <w:pStyle w:val="Normal"/>
        <w:ind w:start="2160" w:end="-720"/>
        <w:rPr/>
      </w:pPr>
      <w:r>
        <w:rPr/>
        <w:t>Diplome Universitaire (with honors),</w:t>
      </w:r>
    </w:p>
    <w:p>
      <w:pPr>
        <w:pStyle w:val="Normal"/>
        <w:ind w:firstLine="720" w:start="1440" w:end="-720"/>
        <w:rPr/>
      </w:pPr>
      <w:r>
        <w:rPr>
          <w:i/>
          <w:iCs/>
        </w:rPr>
        <w:t>B.A.,</w:t>
      </w:r>
      <w:r>
        <w:rPr/>
        <w:t xml:space="preserve"> </w:t>
      </w:r>
      <w:r>
        <w:rPr>
          <w:i/>
          <w:iCs/>
        </w:rPr>
        <w:t>University of California, Berkeley, CA</w:t>
      </w:r>
    </w:p>
    <w:p>
      <w:pPr>
        <w:pStyle w:val="Normal"/>
        <w:ind w:firstLine="720" w:start="1440" w:end="-720"/>
        <w:rPr/>
      </w:pPr>
      <w:r>
        <w:rPr/>
        <w:t>Double major--Physical Science and French Literature</w:t>
      </w:r>
    </w:p>
    <w:p>
      <w:pPr>
        <w:pStyle w:val="Normal"/>
        <w:ind w:firstLine="720" w:start="1440" w:end="-720"/>
        <w:rPr/>
      </w:pPr>
      <w:r>
        <w:rPr/>
      </w:r>
    </w:p>
    <w:p>
      <w:pPr>
        <w:pStyle w:val="Normal"/>
        <w:ind w:end="-720"/>
        <w:rPr/>
      </w:pPr>
      <w:r>
        <w:rPr/>
        <w:t>EXPERIENCE</w:t>
        <w:tab/>
      </w:r>
      <w:r>
        <w:rPr>
          <w:b/>
          <w:bCs/>
        </w:rPr>
        <w:t xml:space="preserve">Enron Corp., </w:t>
      </w:r>
      <w:r>
        <w:rPr/>
        <w:t>San Francisco, CA</w:t>
      </w:r>
    </w:p>
    <w:p>
      <w:pPr>
        <w:pStyle w:val="Normal"/>
        <w:ind w:end="-720"/>
        <w:rPr/>
      </w:pPr>
      <w:r>
        <w:rPr/>
      </w:r>
    </w:p>
    <w:p>
      <w:pPr>
        <w:pStyle w:val="Normal"/>
        <w:ind w:end="-720"/>
        <w:rPr/>
      </w:pPr>
      <w:r>
        <w:rPr/>
        <w:tab/>
        <w:tab/>
        <w:tab/>
      </w:r>
      <w:r>
        <w:rPr>
          <w:u w:val="single"/>
        </w:rPr>
        <w:t>Senior Director, Government Affairs</w:t>
      </w:r>
      <w:r>
        <w:rPr/>
        <w:tab/>
        <w:tab/>
        <w:tab/>
        <w:t>2000-Present</w:t>
      </w:r>
    </w:p>
    <w:p>
      <w:pPr>
        <w:pStyle w:val="Normal"/>
        <w:ind w:start="2160" w:end="-720"/>
        <w:rPr/>
      </w:pPr>
      <w:r>
        <w:rPr/>
      </w:r>
    </w:p>
    <w:p>
      <w:pPr>
        <w:pStyle w:val="Normal"/>
        <w:ind w:start="2160" w:end="-720"/>
        <w:rPr/>
      </w:pPr>
      <w:r>
        <w:rPr/>
        <w:t>Direct company’s California government affairs operations.  Within company’s matrix structure, served as principal member of California deal teams in a variety of commercial transactions. Frequently directed projects for, and reported directly to, Enron’s Chairman, CEO, Chief-of-Staff and other senior management. Represented the company before the state legislature, state agencies and at conferences nationally. Key responsibilities and accomplishments include:</w:t>
      </w:r>
    </w:p>
    <w:p>
      <w:pPr>
        <w:pStyle w:val="Normal"/>
        <w:ind w:start="2160" w:end="-720"/>
        <w:rPr/>
      </w:pPr>
      <w:r>
        <w:rPr/>
      </w:r>
    </w:p>
    <w:p>
      <w:pPr>
        <w:pStyle w:val="Normal"/>
        <w:numPr>
          <w:ilvl w:val="3"/>
          <w:numId w:val="3"/>
        </w:numPr>
        <w:tabs>
          <w:tab w:val="clear" w:pos="720"/>
        </w:tabs>
        <w:ind w:hanging="360" w:start="2520" w:end="-720"/>
        <w:rPr/>
      </w:pPr>
      <w:r>
        <w:rPr/>
        <w:t>Principal participant in and originator of electricity and gas commodity transactions in California with revenues totaling over one hundred million dollars.</w:t>
      </w:r>
    </w:p>
    <w:p>
      <w:pPr>
        <w:pStyle w:val="Normal"/>
        <w:numPr>
          <w:ilvl w:val="3"/>
          <w:numId w:val="3"/>
        </w:numPr>
        <w:tabs>
          <w:tab w:val="clear" w:pos="720"/>
        </w:tabs>
        <w:ind w:hanging="360" w:start="2520" w:end="-720"/>
        <w:rPr/>
      </w:pPr>
      <w:r>
        <w:rPr/>
        <w:t>With management team, developed innovative value-at-risk model to better assess regulatory risk, resulting in savings of tens to hundreds of millions of dollars.</w:t>
      </w:r>
    </w:p>
    <w:p>
      <w:pPr>
        <w:pStyle w:val="Normal"/>
        <w:numPr>
          <w:ilvl w:val="3"/>
          <w:numId w:val="3"/>
        </w:numPr>
        <w:tabs>
          <w:tab w:val="clear" w:pos="720"/>
        </w:tabs>
        <w:ind w:hanging="360" w:start="2520" w:end="-720"/>
        <w:rPr/>
      </w:pPr>
      <w:r>
        <w:rPr/>
        <w:t>Devised plan to restructure and refinance California’s electricity utility industry.  The Speaker of the California Assembly used the plan as the basis for a comprehensive settlement and implementing legislation, which promised to recoup approximately five hundred million dollars in receivables.</w:t>
      </w:r>
    </w:p>
    <w:p>
      <w:pPr>
        <w:pStyle w:val="Normal"/>
        <w:numPr>
          <w:ilvl w:val="3"/>
          <w:numId w:val="3"/>
        </w:numPr>
        <w:tabs>
          <w:tab w:val="clear" w:pos="720"/>
        </w:tabs>
        <w:ind w:hanging="360" w:start="2520" w:end="-720"/>
        <w:rPr/>
      </w:pPr>
      <w:r>
        <w:rPr/>
        <w:t>As principal negotiator, successfully negotiated an agreement with Chair of California Senate Investigative committee to dismiss contempt charges against the company.</w:t>
      </w:r>
    </w:p>
    <w:p>
      <w:pPr>
        <w:pStyle w:val="Normal"/>
        <w:ind w:firstLine="720" w:start="1440" w:end="-720"/>
        <w:rPr/>
      </w:pPr>
      <w:r>
        <w:rPr/>
      </w:r>
    </w:p>
    <w:p>
      <w:pPr>
        <w:pStyle w:val="Normal"/>
        <w:ind w:firstLine="720" w:start="1440" w:end="-720"/>
        <w:rPr/>
      </w:pPr>
      <w:r>
        <w:rPr>
          <w:u w:val="single"/>
        </w:rPr>
        <w:t>Director, Government Affairs</w:t>
        <w:tab/>
      </w:r>
      <w:r>
        <w:rPr/>
        <w:tab/>
        <w:tab/>
        <w:tab/>
        <w:t>1997-2000</w:t>
      </w:r>
    </w:p>
    <w:p>
      <w:pPr>
        <w:pStyle w:val="Normal"/>
        <w:ind w:start="2160" w:end="-720"/>
        <w:rPr/>
      </w:pPr>
      <w:r>
        <w:rPr/>
      </w:r>
    </w:p>
    <w:p>
      <w:pPr>
        <w:pStyle w:val="Normal"/>
        <w:ind w:start="2160" w:end="-720"/>
        <w:rPr/>
      </w:pPr>
      <w:r>
        <w:rPr/>
        <w:t>Direct company’s government affairs operations related to natural gas and broadband activities in the Western states. Principal team member in California commercial deal teams. Directed projects for and reported directly to senior management. Represented the company on gas and broadband activities before the state legislature, state agencies and at conferences nationally. Key responsibilities and accomplishments include:</w:t>
      </w:r>
    </w:p>
    <w:p>
      <w:pPr>
        <w:pStyle w:val="Normal"/>
        <w:ind w:firstLine="720" w:start="1440" w:end="-720"/>
        <w:rPr/>
      </w:pPr>
      <w:r>
        <w:rPr/>
      </w:r>
    </w:p>
    <w:p>
      <w:pPr>
        <w:pStyle w:val="Normal"/>
        <w:numPr>
          <w:ilvl w:val="3"/>
          <w:numId w:val="3"/>
        </w:numPr>
        <w:tabs>
          <w:tab w:val="clear" w:pos="720"/>
        </w:tabs>
        <w:ind w:hanging="360" w:start="2520" w:end="-720"/>
        <w:rPr/>
      </w:pPr>
      <w:r>
        <w:rPr/>
        <w:t>Principal participant in and originator of gas and broadband commodity transactions in California, with revenues resulting in approximately 50 million dollars.</w:t>
      </w:r>
    </w:p>
    <w:p>
      <w:pPr>
        <w:pStyle w:val="Normal"/>
        <w:numPr>
          <w:ilvl w:val="3"/>
          <w:numId w:val="2"/>
        </w:numPr>
        <w:tabs>
          <w:tab w:val="clear" w:pos="720"/>
        </w:tabs>
        <w:ind w:hanging="360" w:start="2520" w:end="-720"/>
        <w:rPr/>
      </w:pPr>
      <w:r>
        <w:rPr/>
        <w:t>With management, set up company’s broadband start-up venture in California.</w:t>
      </w:r>
    </w:p>
    <w:p>
      <w:pPr>
        <w:pStyle w:val="Normal"/>
        <w:numPr>
          <w:ilvl w:val="3"/>
          <w:numId w:val="2"/>
        </w:numPr>
        <w:tabs>
          <w:tab w:val="clear" w:pos="720"/>
        </w:tabs>
        <w:ind w:hanging="360" w:start="2520" w:end="-720"/>
        <w:rPr/>
      </w:pPr>
      <w:r>
        <w:rPr/>
        <w:t>With senior management, developed a benefit-cost analysis tool to ensure cost-effective use of scare firm resources.</w:t>
      </w:r>
    </w:p>
    <w:p>
      <w:pPr>
        <w:pStyle w:val="Normal"/>
        <w:ind w:firstLine="720" w:start="1440" w:end="-720"/>
        <w:rPr/>
      </w:pPr>
      <w:r>
        <w:rPr/>
      </w:r>
    </w:p>
    <w:p>
      <w:pPr>
        <w:pStyle w:val="Normal"/>
        <w:ind w:firstLine="720" w:start="1440" w:end="-720"/>
        <w:rPr/>
      </w:pPr>
      <w:r>
        <w:rPr>
          <w:b/>
          <w:bCs/>
        </w:rPr>
        <w:t>Law &amp; Economic Consulting Group, Inc.,</w:t>
      </w:r>
      <w:r>
        <w:rPr/>
        <w:t xml:space="preserve"> Emeryville California</w:t>
      </w:r>
    </w:p>
    <w:p>
      <w:pPr>
        <w:pStyle w:val="Normal"/>
        <w:ind w:firstLine="720" w:start="1440" w:end="-720"/>
        <w:rPr/>
      </w:pPr>
      <w:r>
        <w:rPr/>
      </w:r>
    </w:p>
    <w:p>
      <w:pPr>
        <w:pStyle w:val="Heading1"/>
        <w:ind w:end="-720"/>
        <w:rPr/>
      </w:pPr>
      <w:r>
        <w:rPr/>
        <w:t>Managing Consultant</w:t>
      </w:r>
      <w:r>
        <w:rPr>
          <w:u w:val="none"/>
        </w:rPr>
        <w:tab/>
        <w:tab/>
        <w:tab/>
        <w:tab/>
        <w:tab/>
        <w:t>1996-1997</w:t>
      </w:r>
    </w:p>
    <w:p>
      <w:pPr>
        <w:pStyle w:val="BodyTextIndent"/>
        <w:ind w:end="-720"/>
        <w:rPr>
          <w:u w:val="none"/>
        </w:rPr>
      </w:pPr>
      <w:r>
        <w:rPr>
          <w:u w:val="none"/>
        </w:rPr>
      </w:r>
    </w:p>
    <w:p>
      <w:pPr>
        <w:pStyle w:val="BodyTextIndent"/>
        <w:ind w:end="-720"/>
        <w:rPr/>
      </w:pPr>
      <w:r>
        <w:rPr/>
        <w:t>Directed a team of 7-10 analysts and economists on client engagements. Worked closely with client’s senior management and with other leading experts and consultants. Participated in business development.</w:t>
      </w:r>
    </w:p>
    <w:p>
      <w:pPr>
        <w:pStyle w:val="Normal"/>
        <w:ind w:start="720" w:end="-720"/>
        <w:rPr/>
      </w:pPr>
      <w:r>
        <w:rPr/>
      </w:r>
    </w:p>
    <w:p>
      <w:pPr>
        <w:pStyle w:val="Normal"/>
        <w:numPr>
          <w:ilvl w:val="3"/>
          <w:numId w:val="3"/>
        </w:numPr>
        <w:tabs>
          <w:tab w:val="clear" w:pos="720"/>
        </w:tabs>
        <w:ind w:hanging="360" w:start="2520" w:end="-720"/>
        <w:rPr/>
      </w:pPr>
      <w:r>
        <w:rPr/>
        <w:t xml:space="preserve">Advised Fortune 500 and international telecommunications firms on business and regulatory strategies for deregulation.  </w:t>
      </w:r>
    </w:p>
    <w:p>
      <w:pPr>
        <w:pStyle w:val="Normal"/>
        <w:numPr>
          <w:ilvl w:val="3"/>
          <w:numId w:val="3"/>
        </w:numPr>
        <w:tabs>
          <w:tab w:val="clear" w:pos="720"/>
        </w:tabs>
        <w:ind w:hanging="360" w:start="2520" w:end="-720"/>
        <w:rPr/>
      </w:pPr>
      <w:r>
        <w:rPr/>
        <w:t>Advised senior management team of Fortune 500 electric utility on changes in industry and competitive structure; assisted in developing strategic business plan and identifying new business opportunities.</w:t>
      </w:r>
    </w:p>
    <w:p>
      <w:pPr>
        <w:pStyle w:val="Normal"/>
        <w:numPr>
          <w:ilvl w:val="3"/>
          <w:numId w:val="3"/>
        </w:numPr>
        <w:tabs>
          <w:tab w:val="clear" w:pos="720"/>
        </w:tabs>
        <w:ind w:hanging="360" w:start="2520" w:end="-720"/>
        <w:rPr/>
      </w:pPr>
      <w:r>
        <w:rPr/>
        <w:t xml:space="preserve">Originated client engagement: Selected as principal advisor to California’s Trustee in charge of implementing California’s electricity deregulation initiative. </w:t>
      </w:r>
    </w:p>
    <w:p>
      <w:pPr>
        <w:pStyle w:val="Normal"/>
        <w:ind w:start="720" w:end="-720"/>
        <w:rPr/>
      </w:pPr>
      <w:r>
        <w:rPr/>
      </w:r>
    </w:p>
    <w:p>
      <w:pPr>
        <w:pStyle w:val="Normal"/>
        <w:ind w:end="-720"/>
        <w:rPr/>
      </w:pPr>
      <w:r>
        <w:rPr/>
        <w:tab/>
        <w:tab/>
        <w:tab/>
      </w:r>
      <w:r>
        <w:rPr>
          <w:b/>
          <w:bCs/>
        </w:rPr>
        <w:t>California Public Utilities Commission</w:t>
      </w:r>
      <w:r>
        <w:rPr/>
        <w:t>, San Francisco, CA</w:t>
      </w:r>
    </w:p>
    <w:p>
      <w:pPr>
        <w:pStyle w:val="Normal"/>
        <w:ind w:end="-720"/>
        <w:rPr/>
      </w:pPr>
      <w:r>
        <w:rPr/>
      </w:r>
    </w:p>
    <w:p>
      <w:pPr>
        <w:pStyle w:val="Normal"/>
        <w:ind w:end="-720"/>
        <w:rPr/>
      </w:pPr>
      <w:r>
        <w:rPr/>
        <w:tab/>
        <w:tab/>
        <w:tab/>
      </w:r>
      <w:r>
        <w:rPr>
          <w:u w:val="single"/>
        </w:rPr>
        <w:t>Senior Strategic Planner</w:t>
      </w:r>
      <w:r>
        <w:rPr/>
        <w:tab/>
        <w:tab/>
        <w:tab/>
        <w:tab/>
        <w:t>1990-1996</w:t>
      </w:r>
    </w:p>
    <w:p>
      <w:pPr>
        <w:pStyle w:val="Normal"/>
        <w:ind w:start="2160" w:end="-720"/>
        <w:rPr/>
      </w:pPr>
      <w:r>
        <w:rPr/>
      </w:r>
    </w:p>
    <w:p>
      <w:pPr>
        <w:pStyle w:val="BodyTextIndent"/>
        <w:ind w:end="-720"/>
        <w:rPr/>
      </w:pPr>
      <w:r>
        <w:rPr/>
        <w:t xml:space="preserve">As member of small strategic planning unit, reported directly to five commissioners appointed by the governor.  </w:t>
      </w:r>
    </w:p>
    <w:p>
      <w:pPr>
        <w:pStyle w:val="BodyTextIndent"/>
        <w:ind w:end="-720"/>
        <w:rPr/>
      </w:pPr>
      <w:r>
        <w:rPr/>
      </w:r>
    </w:p>
    <w:p>
      <w:pPr>
        <w:pStyle w:val="Normal"/>
        <w:numPr>
          <w:ilvl w:val="3"/>
          <w:numId w:val="3"/>
        </w:numPr>
        <w:tabs>
          <w:tab w:val="clear" w:pos="720"/>
        </w:tabs>
        <w:ind w:hanging="360" w:start="2520" w:end="-720"/>
        <w:rPr/>
      </w:pPr>
      <w:r>
        <w:rPr/>
        <w:t>Team lead reporting directly to Commissioners: Developed the initial strategy to de-regulate California’s electric utility industry.  The Commission released the initiative in April 1994.</w:t>
      </w:r>
    </w:p>
    <w:p>
      <w:pPr>
        <w:pStyle w:val="Normal"/>
        <w:numPr>
          <w:ilvl w:val="3"/>
          <w:numId w:val="3"/>
        </w:numPr>
        <w:tabs>
          <w:tab w:val="clear" w:pos="720"/>
        </w:tabs>
        <w:ind w:hanging="360" w:start="2520" w:end="-720"/>
        <w:rPr/>
      </w:pPr>
      <w:r>
        <w:rPr/>
        <w:t xml:space="preserve">Principal author and team lead of internationally recognized analysis of California’s electric industry:  </w:t>
      </w:r>
      <w:r>
        <w:rPr>
          <w:i/>
          <w:iCs/>
        </w:rPr>
        <w:t>Perspectives on the Past, Strategies for the Future</w:t>
      </w:r>
      <w:r>
        <w:rPr/>
        <w:t xml:space="preserve">, February 1993. </w:t>
      </w:r>
    </w:p>
    <w:p>
      <w:pPr>
        <w:pStyle w:val="Normal"/>
        <w:numPr>
          <w:ilvl w:val="3"/>
          <w:numId w:val="3"/>
        </w:numPr>
        <w:tabs>
          <w:tab w:val="clear" w:pos="720"/>
        </w:tabs>
        <w:ind w:hanging="360" w:start="2520" w:end="-720"/>
        <w:rPr/>
      </w:pPr>
      <w:r>
        <w:rPr/>
        <w:t xml:space="preserve">With strategic planning staff and commissioners, </w:t>
      </w:r>
      <w:r>
        <w:rPr>
          <w:i/>
          <w:iCs/>
        </w:rPr>
        <w:t>Enhancing California’s Competitive Strength:  A Strategy for Telecommunications Infrastructure:  A Report to the Governor</w:t>
      </w:r>
      <w:r>
        <w:rPr/>
        <w:t>.  November 1993.</w:t>
      </w:r>
    </w:p>
    <w:p>
      <w:pPr>
        <w:pStyle w:val="Normal"/>
        <w:ind w:end="-72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960"/>
        </w:tabs>
        <w:ind w:start="3960" w:hanging="360"/>
      </w:pPr>
      <w:rPr>
        <w:rFonts w:ascii="Wingdings" w:hAnsi="Wingdings" w:cs="Wingdings" w:hint="default"/>
      </w:rPr>
    </w:lvl>
    <w:lvl w:ilvl="1">
      <w:start w:val="1"/>
      <w:numFmt w:val="bullet"/>
      <w:lvlText w:val="o"/>
      <w:lvlJc w:val="start"/>
      <w:pPr>
        <w:tabs>
          <w:tab w:val="num" w:pos="3600"/>
        </w:tabs>
        <w:ind w:start="3600" w:hanging="360"/>
      </w:pPr>
      <w:rPr>
        <w:rFonts w:ascii="Courier New" w:hAnsi="Courier New" w:cs="Courier New" w:hint="default"/>
      </w:rPr>
    </w:lvl>
    <w:lvl w:ilvl="2">
      <w:start w:val="1"/>
      <w:numFmt w:val="bullet"/>
      <w:lvlText w:val=""/>
      <w:lvlJc w:val="start"/>
      <w:pPr>
        <w:tabs>
          <w:tab w:val="num" w:pos="4320"/>
        </w:tabs>
        <w:ind w:start="4320" w:hanging="360"/>
      </w:pPr>
      <w:rPr>
        <w:rFonts w:ascii="Wingdings" w:hAnsi="Wingdings" w:cs="Wingdings" w:hint="default"/>
      </w:rPr>
    </w:lvl>
    <w:lvl w:ilvl="3">
      <w:start w:val="1"/>
      <w:numFmt w:val="bullet"/>
      <w:lvlText w:val=""/>
      <w:lvlJc w:val="start"/>
      <w:pPr>
        <w:tabs>
          <w:tab w:val="num" w:pos="5040"/>
        </w:tabs>
        <w:ind w:start="5040" w:hanging="360"/>
      </w:pPr>
      <w:rPr>
        <w:rFonts w:ascii="Symbol" w:hAnsi="Symbol" w:cs="Symbol" w:hint="default"/>
      </w:rPr>
    </w:lvl>
    <w:lvl w:ilvl="4">
      <w:start w:val="1"/>
      <w:numFmt w:val="bullet"/>
      <w:lvlText w:val="o"/>
      <w:lvlJc w:val="start"/>
      <w:pPr>
        <w:tabs>
          <w:tab w:val="num" w:pos="5760"/>
        </w:tabs>
        <w:ind w:start="5760" w:hanging="360"/>
      </w:pPr>
      <w:rPr>
        <w:rFonts w:ascii="Courier New" w:hAnsi="Courier New" w:cs="Courier New" w:hint="default"/>
      </w:rPr>
    </w:lvl>
    <w:lvl w:ilvl="5">
      <w:start w:val="1"/>
      <w:numFmt w:val="bullet"/>
      <w:lvlText w:val=""/>
      <w:lvlJc w:val="start"/>
      <w:pPr>
        <w:tabs>
          <w:tab w:val="num" w:pos="6480"/>
        </w:tabs>
        <w:ind w:start="6480" w:hanging="360"/>
      </w:pPr>
      <w:rPr>
        <w:rFonts w:ascii="Wingdings" w:hAnsi="Wingdings" w:cs="Wingdings" w:hint="default"/>
      </w:rPr>
    </w:lvl>
    <w:lvl w:ilvl="6">
      <w:start w:val="1"/>
      <w:numFmt w:val="bullet"/>
      <w:lvlText w:val=""/>
      <w:lvlJc w:val="start"/>
      <w:pPr>
        <w:tabs>
          <w:tab w:val="num" w:pos="7200"/>
        </w:tabs>
        <w:ind w:start="7200" w:hanging="360"/>
      </w:pPr>
      <w:rPr>
        <w:rFonts w:ascii="Symbol" w:hAnsi="Symbol" w:cs="Symbol" w:hint="default"/>
      </w:rPr>
    </w:lvl>
    <w:lvl w:ilvl="7">
      <w:start w:val="1"/>
      <w:numFmt w:val="bullet"/>
      <w:lvlText w:val="o"/>
      <w:lvlJc w:val="start"/>
      <w:pPr>
        <w:tabs>
          <w:tab w:val="num" w:pos="7920"/>
        </w:tabs>
        <w:ind w:start="7920" w:hanging="360"/>
      </w:pPr>
      <w:rPr>
        <w:rFonts w:ascii="Courier New" w:hAnsi="Courier New" w:cs="Courier New" w:hint="default"/>
      </w:rPr>
    </w:lvl>
    <w:lvl w:ilvl="8">
      <w:start w:val="1"/>
      <w:numFmt w:val="bullet"/>
      <w:lvlText w:val=""/>
      <w:lvlJc w:val="start"/>
      <w:pPr>
        <w:tabs>
          <w:tab w:val="num" w:pos="8640"/>
        </w:tabs>
        <w:ind w:start="8640" w:hanging="360"/>
      </w:pPr>
      <w:rPr>
        <w:rFonts w:ascii="Wingdings" w:hAnsi="Wingdings" w:cs="Wingdings" w:hint="default"/>
      </w:rPr>
    </w:lvl>
  </w:abstractNum>
  <w:abstractNum w:abstractNumId="3">
    <w:lvl w:ilvl="0">
      <w:start w:val="1"/>
      <w:numFmt w:val="bullet"/>
      <w:lvlText w:val=""/>
      <w:lvlJc w:val="start"/>
      <w:pPr>
        <w:tabs>
          <w:tab w:val="num" w:pos="4028"/>
        </w:tabs>
        <w:ind w:start="4028" w:hanging="360"/>
      </w:pPr>
      <w:rPr>
        <w:rFonts w:ascii="Wingdings" w:hAnsi="Wingdings" w:cs="Wingdings" w:hint="default"/>
      </w:rPr>
    </w:lvl>
    <w:lvl w:ilvl="1">
      <w:start w:val="1"/>
      <w:numFmt w:val="bullet"/>
      <w:lvlText w:val="o"/>
      <w:lvlJc w:val="start"/>
      <w:pPr>
        <w:tabs>
          <w:tab w:val="num" w:pos="3668"/>
        </w:tabs>
        <w:ind w:start="3668" w:hanging="360"/>
      </w:pPr>
      <w:rPr>
        <w:rFonts w:ascii="Courier New" w:hAnsi="Courier New" w:cs="Courier New" w:hint="default"/>
      </w:rPr>
    </w:lvl>
    <w:lvl w:ilvl="2">
      <w:start w:val="1"/>
      <w:numFmt w:val="bullet"/>
      <w:lvlText w:val=""/>
      <w:lvlJc w:val="start"/>
      <w:pPr>
        <w:tabs>
          <w:tab w:val="num" w:pos="4388"/>
        </w:tabs>
        <w:ind w:start="4388" w:hanging="360"/>
      </w:pPr>
      <w:rPr>
        <w:rFonts w:ascii="Wingdings" w:hAnsi="Wingdings" w:cs="Wingdings" w:hint="default"/>
      </w:rPr>
    </w:lvl>
    <w:lvl w:ilvl="3">
      <w:start w:val="1"/>
      <w:numFmt w:val="bullet"/>
      <w:lvlText w:val=""/>
      <w:lvlJc w:val="start"/>
      <w:pPr>
        <w:tabs>
          <w:tab w:val="num" w:pos="5108"/>
        </w:tabs>
        <w:ind w:start="5108" w:hanging="360"/>
      </w:pPr>
      <w:rPr>
        <w:rFonts w:ascii="Symbol" w:hAnsi="Symbol" w:cs="Symbol" w:hint="default"/>
      </w:rPr>
    </w:lvl>
    <w:lvl w:ilvl="4">
      <w:start w:val="1"/>
      <w:numFmt w:val="bullet"/>
      <w:lvlText w:val="o"/>
      <w:lvlJc w:val="start"/>
      <w:pPr>
        <w:tabs>
          <w:tab w:val="num" w:pos="5828"/>
        </w:tabs>
        <w:ind w:start="5828" w:hanging="360"/>
      </w:pPr>
      <w:rPr>
        <w:rFonts w:ascii="Courier New" w:hAnsi="Courier New" w:cs="Courier New" w:hint="default"/>
      </w:rPr>
    </w:lvl>
    <w:lvl w:ilvl="5">
      <w:start w:val="1"/>
      <w:numFmt w:val="bullet"/>
      <w:lvlText w:val=""/>
      <w:lvlJc w:val="start"/>
      <w:pPr>
        <w:tabs>
          <w:tab w:val="num" w:pos="6548"/>
        </w:tabs>
        <w:ind w:start="6548" w:hanging="360"/>
      </w:pPr>
      <w:rPr>
        <w:rFonts w:ascii="Wingdings" w:hAnsi="Wingdings" w:cs="Wingdings" w:hint="default"/>
      </w:rPr>
    </w:lvl>
    <w:lvl w:ilvl="6">
      <w:start w:val="1"/>
      <w:numFmt w:val="bullet"/>
      <w:lvlText w:val=""/>
      <w:lvlJc w:val="start"/>
      <w:pPr>
        <w:tabs>
          <w:tab w:val="num" w:pos="7268"/>
        </w:tabs>
        <w:ind w:start="7268" w:hanging="360"/>
      </w:pPr>
      <w:rPr>
        <w:rFonts w:ascii="Symbol" w:hAnsi="Symbol" w:cs="Symbol" w:hint="default"/>
      </w:rPr>
    </w:lvl>
    <w:lvl w:ilvl="7">
      <w:start w:val="1"/>
      <w:numFmt w:val="bullet"/>
      <w:lvlText w:val="o"/>
      <w:lvlJc w:val="start"/>
      <w:pPr>
        <w:tabs>
          <w:tab w:val="num" w:pos="7988"/>
        </w:tabs>
        <w:ind w:start="7988" w:hanging="360"/>
      </w:pPr>
      <w:rPr>
        <w:rFonts w:ascii="Courier New" w:hAnsi="Courier New" w:cs="Courier New" w:hint="default"/>
      </w:rPr>
    </w:lvl>
    <w:lvl w:ilvl="8">
      <w:start w:val="1"/>
      <w:numFmt w:val="bullet"/>
      <w:lvlText w:val=""/>
      <w:lvlJc w:val="start"/>
      <w:pPr>
        <w:tabs>
          <w:tab w:val="num" w:pos="8708"/>
        </w:tabs>
        <w:ind w:start="8708"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firstLine="720" w:start="1440" w:end="0"/>
      <w:outlineLvl w:val="0"/>
    </w:pPr>
    <w:rPr>
      <w:u w:val="single"/>
    </w:rPr>
  </w:style>
  <w:style w:type="paragraph" w:styleId="Heading2">
    <w:name w:val="heading 2"/>
    <w:basedOn w:val="Normal"/>
    <w:next w:val="Normal"/>
    <w:qFormat/>
    <w:pPr>
      <w:keepNext w:val="true"/>
      <w:numPr>
        <w:ilvl w:val="1"/>
        <w:numId w:val="1"/>
      </w:numPr>
      <w:ind w:hanging="0" w:start="2160" w:end="-720"/>
      <w:outlineLvl w:val="1"/>
    </w:pPr>
    <w:rPr>
      <w:i/>
      <w:iC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2001-12-17T21:32:00Z</dcterms:created>
  <dc:creator>jdasovic</dc:creator>
  <dc:description/>
  <dc:language>en-CA</dc:language>
  <cp:lastModifiedBy>jdasovic</cp:lastModifiedBy>
  <cp:lastPrinted>2001-12-17T12:35:00Z</cp:lastPrinted>
  <dcterms:modified xsi:type="dcterms:W3CDTF">2001-12-17T21:36:00Z</dcterms:modified>
  <cp:revision>3</cp:revision>
  <dc:subject/>
  <dc:title>JEFFREY DASOVICH</dc:title>
</cp:coreProperties>
</file>