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JEFFREY DASOVICH</w:t>
      </w:r>
    </w:p>
    <w:p>
      <w:pPr>
        <w:pStyle w:val="Normal"/>
        <w:jc w:val="center"/>
        <w:rPr/>
      </w:pPr>
      <w:r>
        <w:rPr/>
        <w:t>366 Dolores Street, #3</w:t>
      </w:r>
    </w:p>
    <w:p>
      <w:pPr>
        <w:pStyle w:val="Normal"/>
        <w:jc w:val="center"/>
        <w:rPr/>
      </w:pPr>
      <w:r>
        <w:rPr/>
        <w:t>San Francisco, California 94110</w:t>
      </w:r>
    </w:p>
    <w:p>
      <w:pPr>
        <w:pStyle w:val="Normal"/>
        <w:jc w:val="center"/>
        <w:rPr/>
      </w:pPr>
      <w:r>
        <w:rPr/>
        <w:t>(415) 621-8317</w:t>
      </w:r>
    </w:p>
    <w:p>
      <w:pPr>
        <w:pStyle w:val="Normal"/>
        <w:jc w:val="center"/>
        <w:rPr/>
      </w:pPr>
      <w:r>
        <w:rPr/>
        <w:t>jdasovich@sbcglobal.net</w:t>
      </w:r>
    </w:p>
    <w:p>
      <w:pPr>
        <w:pStyle w:val="Normal"/>
        <w:jc w:val="center"/>
        <w:rPr/>
      </w:pPr>
      <w:r>
        <w:rPr/>
      </w:r>
    </w:p>
    <w:p>
      <w:pPr>
        <w:pStyle w:val="Normal"/>
        <w:jc w:val="center"/>
        <w:rPr/>
      </w:pPr>
      <w:r>
        <w:rPr/>
      </w:r>
    </w:p>
    <w:p>
      <w:pPr>
        <w:pStyle w:val="Normal"/>
        <w:rPr/>
      </w:pPr>
      <w:r>
        <w:rPr/>
        <w:t>OBJECTIVE</w:t>
      </w:r>
    </w:p>
    <w:p>
      <w:pPr>
        <w:pStyle w:val="Normal"/>
        <w:rPr/>
      </w:pPr>
      <w:r>
        <w:rPr/>
      </w:r>
    </w:p>
    <w:p>
      <w:pPr>
        <w:pStyle w:val="Normal"/>
        <w:rPr/>
      </w:pPr>
      <w:r>
        <w:rPr/>
      </w:r>
    </w:p>
    <w:p>
      <w:pPr>
        <w:pStyle w:val="Normal"/>
        <w:rPr/>
      </w:pPr>
      <w:r>
        <w:rPr/>
        <w:t>EDUCATION</w:t>
        <w:tab/>
        <w:tab/>
      </w:r>
      <w:r>
        <w:rPr>
          <w:i/>
          <w:iCs/>
        </w:rPr>
        <w:t>MBA University of California, Berkeley, CA</w:t>
      </w:r>
    </w:p>
    <w:p>
      <w:pPr>
        <w:pStyle w:val="Normal"/>
        <w:rPr/>
      </w:pPr>
      <w:r>
        <w:rPr/>
        <w:tab/>
        <w:tab/>
        <w:tab/>
        <w:t>Haas School of Business</w:t>
      </w:r>
    </w:p>
    <w:p>
      <w:pPr>
        <w:pStyle w:val="Normal"/>
        <w:rPr/>
      </w:pPr>
      <w:r>
        <w:rPr/>
        <w:tab/>
        <w:tab/>
        <w:tab/>
        <w:t>Emphasis in Finance</w:t>
      </w:r>
    </w:p>
    <w:p>
      <w:pPr>
        <w:pStyle w:val="Normal"/>
        <w:rPr/>
      </w:pPr>
      <w:r>
        <w:rPr/>
        <w:tab/>
        <w:tab/>
        <w:tab/>
      </w:r>
      <w:r>
        <w:rPr>
          <w:i/>
          <w:iCs/>
        </w:rPr>
        <w:t>Master of Public Policy, University of California, Berkeley, CA</w:t>
      </w:r>
    </w:p>
    <w:p>
      <w:pPr>
        <w:pStyle w:val="Normal"/>
        <w:ind w:firstLine="720" w:start="1440" w:end="0"/>
        <w:rPr/>
      </w:pPr>
      <w:r>
        <w:rPr/>
        <w:t>Goldman School of Public Policy</w:t>
      </w:r>
    </w:p>
    <w:p>
      <w:pPr>
        <w:pStyle w:val="Normal"/>
        <w:ind w:firstLine="720" w:start="1440" w:end="0"/>
        <w:rPr/>
      </w:pPr>
      <w:r>
        <w:rPr/>
        <w:t>Emphasis in Energy Policy</w:t>
      </w:r>
    </w:p>
    <w:p>
      <w:pPr>
        <w:pStyle w:val="Normal"/>
        <w:ind w:firstLine="720" w:start="1440" w:end="0"/>
        <w:rPr/>
      </w:pPr>
      <w:r>
        <w:rPr>
          <w:i/>
          <w:iCs/>
        </w:rPr>
        <w:t>B.A.,</w:t>
      </w:r>
      <w:r>
        <w:rPr/>
        <w:t xml:space="preserve"> </w:t>
      </w:r>
      <w:r>
        <w:rPr>
          <w:i/>
          <w:iCs/>
        </w:rPr>
        <w:t>University of California, Berkeley, CA</w:t>
      </w:r>
    </w:p>
    <w:p>
      <w:pPr>
        <w:pStyle w:val="Normal"/>
        <w:ind w:firstLine="720" w:start="1440" w:end="0"/>
        <w:rPr/>
      </w:pPr>
      <w:r>
        <w:rPr/>
        <w:t>Double major--Physical Science and French Literature</w:t>
      </w:r>
    </w:p>
    <w:p>
      <w:pPr>
        <w:pStyle w:val="Normal"/>
        <w:ind w:firstLine="720" w:start="1440" w:end="0"/>
        <w:rPr/>
      </w:pPr>
      <w:r>
        <w:rPr/>
      </w:r>
    </w:p>
    <w:p>
      <w:pPr>
        <w:pStyle w:val="Normal"/>
        <w:rPr/>
      </w:pPr>
      <w:r>
        <w:rPr/>
        <w:t>EXPERIENCE</w:t>
        <w:tab/>
      </w:r>
      <w:r>
        <w:rPr>
          <w:b/>
          <w:bCs/>
        </w:rPr>
        <w:t xml:space="preserve">Enron Corp., </w:t>
      </w:r>
      <w:r>
        <w:rPr/>
        <w:t>San Francisco, CA</w:t>
      </w:r>
    </w:p>
    <w:p>
      <w:pPr>
        <w:pStyle w:val="Normal"/>
        <w:rPr/>
      </w:pPr>
      <w:r>
        <w:rPr/>
      </w:r>
    </w:p>
    <w:p>
      <w:pPr>
        <w:pStyle w:val="Normal"/>
        <w:rPr/>
      </w:pPr>
      <w:r>
        <w:rPr/>
        <w:tab/>
        <w:tab/>
        <w:tab/>
      </w:r>
      <w:r>
        <w:rPr>
          <w:u w:val="single"/>
        </w:rPr>
        <w:t>Senior Director, Government Affairs</w:t>
      </w:r>
      <w:r>
        <w:rPr/>
        <w:tab/>
        <w:tab/>
        <w:tab/>
        <w:t>2000-Present</w:t>
      </w:r>
    </w:p>
    <w:p>
      <w:pPr>
        <w:pStyle w:val="Normal"/>
        <w:ind w:start="2160" w:end="0"/>
        <w:rPr/>
      </w:pPr>
      <w:r>
        <w:rPr/>
      </w:r>
    </w:p>
    <w:p>
      <w:pPr>
        <w:pStyle w:val="Normal"/>
        <w:ind w:start="2160" w:end="0"/>
        <w:rPr/>
      </w:pPr>
      <w:r>
        <w:rPr/>
        <w:t>Direct company’s California government affairs operations, with annual budget of approximately $2 million.  Frequently performed projects directly for, and reported directly to, Enron’s Chairman, CEO, Chief-of-Staff and other senior management. Represented the company before the state legislature, state agencies and at conferences nationally. Within company’s matrix structure, served as principal member of California deal teams in a variety of commercial transactions. Key responsibilities and accomplishments include:</w:t>
      </w:r>
    </w:p>
    <w:p>
      <w:pPr>
        <w:pStyle w:val="Normal"/>
        <w:ind w:start="2160" w:end="0"/>
        <w:rPr/>
      </w:pPr>
      <w:r>
        <w:rPr/>
      </w:r>
    </w:p>
    <w:p>
      <w:pPr>
        <w:pStyle w:val="Normal"/>
        <w:numPr>
          <w:ilvl w:val="3"/>
          <w:numId w:val="3"/>
        </w:numPr>
        <w:tabs>
          <w:tab w:val="clear" w:pos="720"/>
        </w:tabs>
        <w:ind w:hanging="360" w:start="2520" w:end="0"/>
        <w:rPr/>
      </w:pPr>
      <w:r>
        <w:rPr/>
        <w:t>Principal participant in and originator of electricity and gas commodity transactions in California with revenues totaling over one hundred million dollars.</w:t>
      </w:r>
    </w:p>
    <w:p>
      <w:pPr>
        <w:pStyle w:val="Normal"/>
        <w:numPr>
          <w:ilvl w:val="3"/>
          <w:numId w:val="3"/>
        </w:numPr>
        <w:tabs>
          <w:tab w:val="clear" w:pos="720"/>
        </w:tabs>
        <w:ind w:hanging="360" w:start="2520" w:end="0"/>
        <w:rPr/>
      </w:pPr>
      <w:r>
        <w:rPr/>
        <w:t>With management team, developed innovative value-at-risk model to better assess regulatory risk, resulting in savings of tens to hundreds of millions of dollars.</w:t>
      </w:r>
    </w:p>
    <w:p>
      <w:pPr>
        <w:pStyle w:val="Normal"/>
        <w:numPr>
          <w:ilvl w:val="3"/>
          <w:numId w:val="3"/>
        </w:numPr>
        <w:tabs>
          <w:tab w:val="clear" w:pos="720"/>
        </w:tabs>
        <w:ind w:hanging="360" w:start="2520" w:end="0"/>
        <w:rPr/>
      </w:pPr>
      <w:r>
        <w:rPr/>
        <w:t>On behalf of the company, devised plan to restructure and refinance California’s electricity utility industry, which the Speaker of the California Assembly used as basis for a comprehensive settlement and implementing legislation.  The settlement and legislation would have resulted in the company recouping approximately three hundred millions.</w:t>
      </w:r>
    </w:p>
    <w:p>
      <w:pPr>
        <w:pStyle w:val="Normal"/>
        <w:numPr>
          <w:ilvl w:val="3"/>
          <w:numId w:val="3"/>
        </w:numPr>
        <w:tabs>
          <w:tab w:val="clear" w:pos="720"/>
        </w:tabs>
        <w:ind w:hanging="360" w:start="2520" w:end="0"/>
        <w:rPr/>
      </w:pPr>
      <w:r>
        <w:rPr/>
        <w:t>As principal negotiator, successfully negotiated an agreement with Chair of California Senate Investigative committee to dismiss contempt charges against the company.</w:t>
      </w:r>
    </w:p>
    <w:p>
      <w:pPr>
        <w:pStyle w:val="Normal"/>
        <w:ind w:firstLine="720" w:start="1440" w:end="0"/>
        <w:rPr/>
      </w:pPr>
      <w:r>
        <w:rPr/>
      </w:r>
    </w:p>
    <w:p>
      <w:pPr>
        <w:pStyle w:val="Normal"/>
        <w:ind w:firstLine="720" w:start="1440" w:end="0"/>
        <w:rPr/>
      </w:pPr>
      <w:r>
        <w:rPr>
          <w:u w:val="single"/>
        </w:rPr>
        <w:t>Director, Government Affairs</w:t>
        <w:tab/>
      </w:r>
      <w:r>
        <w:rPr/>
        <w:tab/>
        <w:tab/>
        <w:tab/>
        <w:t>1997-2000</w:t>
      </w:r>
    </w:p>
    <w:p>
      <w:pPr>
        <w:pStyle w:val="Normal"/>
        <w:ind w:start="2160" w:end="0"/>
        <w:rPr/>
      </w:pPr>
      <w:r>
        <w:rPr/>
        <w:t>Direct company’s Western government affairs operations related to natural gas and broadband activities. Principal member of California commercial deal teams. Performed projects for and reported directly to senior management. Represented the company on gas and broadband activities before the state legislature, state agencies and at conferences nationally. Key responsibilities and accomplishments include:</w:t>
      </w:r>
    </w:p>
    <w:p>
      <w:pPr>
        <w:pStyle w:val="Normal"/>
        <w:ind w:firstLine="720" w:start="1440" w:end="0"/>
        <w:rPr/>
      </w:pPr>
      <w:r>
        <w:rPr/>
      </w:r>
    </w:p>
    <w:p>
      <w:pPr>
        <w:pStyle w:val="Normal"/>
        <w:numPr>
          <w:ilvl w:val="3"/>
          <w:numId w:val="3"/>
        </w:numPr>
        <w:tabs>
          <w:tab w:val="clear" w:pos="720"/>
        </w:tabs>
        <w:ind w:hanging="360" w:start="2520" w:end="0"/>
        <w:rPr/>
      </w:pPr>
      <w:r>
        <w:rPr/>
        <w:t>Principal participant in and originator of gas and broadband commodity transactions in California, resulting in profits of tens of millions of dollars.</w:t>
      </w:r>
    </w:p>
    <w:p>
      <w:pPr>
        <w:pStyle w:val="Normal"/>
        <w:numPr>
          <w:ilvl w:val="3"/>
          <w:numId w:val="2"/>
        </w:numPr>
        <w:tabs>
          <w:tab w:val="clear" w:pos="720"/>
        </w:tabs>
        <w:ind w:hanging="360" w:start="2520" w:end="0"/>
        <w:rPr/>
      </w:pPr>
      <w:r>
        <w:rPr/>
        <w:t>Set up broadband business in California.</w:t>
      </w:r>
    </w:p>
    <w:p>
      <w:pPr>
        <w:pStyle w:val="Normal"/>
        <w:numPr>
          <w:ilvl w:val="3"/>
          <w:numId w:val="2"/>
        </w:numPr>
        <w:tabs>
          <w:tab w:val="clear" w:pos="720"/>
        </w:tabs>
        <w:ind w:hanging="360" w:start="2520" w:end="0"/>
        <w:rPr/>
      </w:pPr>
      <w:r>
        <w:rPr/>
      </w:r>
    </w:p>
    <w:p>
      <w:pPr>
        <w:pStyle w:val="Normal"/>
        <w:ind w:firstLine="720" w:start="1440" w:end="0"/>
        <w:rPr/>
      </w:pPr>
      <w:r>
        <w:rPr/>
      </w:r>
    </w:p>
    <w:p>
      <w:pPr>
        <w:pStyle w:val="Normal"/>
        <w:ind w:firstLine="720" w:start="1440" w:end="0"/>
        <w:rPr/>
      </w:pPr>
      <w:r>
        <w:rPr>
          <w:b/>
          <w:bCs/>
        </w:rPr>
        <w:t>Law &amp; Economic Consulting Group, Inc.,</w:t>
      </w:r>
      <w:r>
        <w:rPr/>
        <w:t xml:space="preserve"> Emeryville California</w:t>
      </w:r>
    </w:p>
    <w:p>
      <w:pPr>
        <w:pStyle w:val="Normal"/>
        <w:ind w:firstLine="720" w:start="1440" w:end="0"/>
        <w:rPr/>
      </w:pPr>
      <w:r>
        <w:rPr/>
      </w:r>
    </w:p>
    <w:p>
      <w:pPr>
        <w:pStyle w:val="Heading1"/>
        <w:rPr/>
      </w:pPr>
      <w:r>
        <w:rPr/>
        <w:t>Managing Consultant</w:t>
      </w:r>
      <w:r>
        <w:rPr>
          <w:u w:val="none"/>
        </w:rPr>
        <w:tab/>
        <w:tab/>
        <w:tab/>
        <w:tab/>
        <w:tab/>
        <w:t>1996-1997</w:t>
      </w:r>
    </w:p>
    <w:p>
      <w:pPr>
        <w:pStyle w:val="BodyTextIndent"/>
        <w:rPr/>
      </w:pPr>
      <w:r>
        <w:rPr/>
        <w:t>Managed a team of 7-10 analysts and economists. Originated business. Frequent contact with senior management; worked closely with other leading experts and consultants.</w:t>
      </w:r>
    </w:p>
    <w:p>
      <w:pPr>
        <w:pStyle w:val="Normal"/>
        <w:ind w:start="720" w:end="0"/>
        <w:rPr/>
      </w:pPr>
      <w:r>
        <w:rPr/>
      </w:r>
    </w:p>
    <w:p>
      <w:pPr>
        <w:pStyle w:val="Normal"/>
        <w:numPr>
          <w:ilvl w:val="3"/>
          <w:numId w:val="3"/>
        </w:numPr>
        <w:tabs>
          <w:tab w:val="clear" w:pos="720"/>
        </w:tabs>
        <w:ind w:hanging="360" w:start="2520" w:end="0"/>
        <w:rPr/>
      </w:pPr>
      <w:r>
        <w:rPr/>
        <w:t xml:space="preserve">Advised Fortune 500 telecommunications firms on business and regulatory strategies tied to industry deregulation.  </w:t>
      </w:r>
    </w:p>
    <w:p>
      <w:pPr>
        <w:pStyle w:val="Normal"/>
        <w:numPr>
          <w:ilvl w:val="3"/>
          <w:numId w:val="3"/>
        </w:numPr>
        <w:tabs>
          <w:tab w:val="clear" w:pos="720"/>
        </w:tabs>
        <w:ind w:hanging="360" w:start="2520" w:end="0"/>
        <w:rPr/>
      </w:pPr>
      <w:r>
        <w:rPr/>
        <w:t>Advised senior management team of Fortune 500 electric utility on changes in industry and competitive structure; assisted in developing strategic business plan and identifying new business opportunities.</w:t>
      </w:r>
    </w:p>
    <w:p>
      <w:pPr>
        <w:pStyle w:val="Normal"/>
        <w:numPr>
          <w:ilvl w:val="3"/>
          <w:numId w:val="3"/>
        </w:numPr>
        <w:tabs>
          <w:tab w:val="clear" w:pos="720"/>
        </w:tabs>
        <w:ind w:hanging="360" w:start="2520" w:end="0"/>
        <w:rPr/>
      </w:pPr>
      <w:r>
        <w:rPr/>
        <w:t>Advisor to California’s Trustee for California’s electric industry restructuring Trust, where I advised the Trustee on all aspects of California’s wholesale market design.</w:t>
      </w:r>
    </w:p>
    <w:p>
      <w:pPr>
        <w:pStyle w:val="Normal"/>
        <w:ind w:start="720" w:end="0"/>
        <w:rPr/>
      </w:pPr>
      <w:r>
        <w:rPr/>
      </w:r>
    </w:p>
    <w:p>
      <w:pPr>
        <w:pStyle w:val="Normal"/>
        <w:rPr/>
      </w:pPr>
      <w:r>
        <w:rPr/>
        <w:tab/>
        <w:tab/>
        <w:tab/>
      </w:r>
      <w:r>
        <w:rPr>
          <w:b/>
          <w:bCs/>
        </w:rPr>
        <w:t>California Public Utilities Commission</w:t>
      </w:r>
      <w:r>
        <w:rPr/>
        <w:t>, San Francisco, CA</w:t>
      </w:r>
    </w:p>
    <w:p>
      <w:pPr>
        <w:pStyle w:val="Normal"/>
        <w:rPr/>
      </w:pPr>
      <w:r>
        <w:rPr/>
      </w:r>
    </w:p>
    <w:p>
      <w:pPr>
        <w:pStyle w:val="Normal"/>
        <w:rPr/>
      </w:pPr>
      <w:r>
        <w:rPr/>
        <w:tab/>
        <w:tab/>
        <w:tab/>
      </w:r>
      <w:r>
        <w:rPr>
          <w:u w:val="single"/>
        </w:rPr>
        <w:t>Senior Strategic Planner</w:t>
      </w:r>
      <w:r>
        <w:rPr/>
        <w:tab/>
        <w:tab/>
        <w:tab/>
        <w:tab/>
        <w:t>1990-1996</w:t>
      </w:r>
    </w:p>
    <w:p>
      <w:pPr>
        <w:pStyle w:val="Normal"/>
        <w:ind w:start="2160" w:end="0"/>
        <w:rPr/>
      </w:pPr>
      <w:r>
        <w:rPr/>
      </w:r>
    </w:p>
    <w:p>
      <w:pPr>
        <w:pStyle w:val="BodyTextIndent"/>
        <w:rPr/>
      </w:pPr>
      <w:r>
        <w:rPr/>
        <w:t xml:space="preserve">As member of small strategic planning unit, reported directly to five commissioners appointed by the governor.  </w:t>
      </w:r>
    </w:p>
    <w:p>
      <w:pPr>
        <w:pStyle w:val="Normal"/>
        <w:numPr>
          <w:ilvl w:val="3"/>
          <w:numId w:val="3"/>
        </w:numPr>
        <w:tabs>
          <w:tab w:val="clear" w:pos="720"/>
        </w:tabs>
        <w:ind w:hanging="360" w:start="2520" w:end="0"/>
        <w:rPr/>
      </w:pPr>
      <w:r>
        <w:rPr/>
        <w:t>Yellow book.</w:t>
      </w:r>
    </w:p>
    <w:p>
      <w:pPr>
        <w:pStyle w:val="Normal"/>
        <w:numPr>
          <w:ilvl w:val="3"/>
          <w:numId w:val="3"/>
        </w:numPr>
        <w:tabs>
          <w:tab w:val="clear" w:pos="720"/>
        </w:tabs>
        <w:ind w:hanging="360" w:start="2520" w:end="0"/>
        <w:rPr/>
      </w:pPr>
      <w:r>
        <w:rPr/>
        <w:t>Blue book.</w:t>
      </w:r>
    </w:p>
    <w:p>
      <w:pPr>
        <w:pStyle w:val="Normal"/>
        <w:numPr>
          <w:ilvl w:val="3"/>
          <w:numId w:val="3"/>
        </w:numPr>
        <w:tabs>
          <w:tab w:val="clear" w:pos="720"/>
        </w:tabs>
        <w:ind w:hanging="360" w:start="2520" w:end="0"/>
        <w:rPr/>
      </w:pPr>
      <w:r>
        <w:rPr/>
        <w:t>Telcom book.</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960"/>
        </w:tabs>
        <w:ind w:start="3960" w:hanging="360"/>
      </w:pPr>
      <w:rPr>
        <w:rFonts w:ascii="Wingdings" w:hAnsi="Wingdings" w:cs="Wingdings" w:hint="default"/>
      </w:rPr>
    </w:lvl>
    <w:lvl w:ilvl="1">
      <w:start w:val="1"/>
      <w:numFmt w:val="bullet"/>
      <w:lvlText w:val="o"/>
      <w:lvlJc w:val="start"/>
      <w:pPr>
        <w:tabs>
          <w:tab w:val="num" w:pos="3600"/>
        </w:tabs>
        <w:ind w:start="3600" w:hanging="360"/>
      </w:pPr>
      <w:rPr>
        <w:rFonts w:ascii="Courier New" w:hAnsi="Courier New" w:cs="Courier New" w:hint="default"/>
      </w:rPr>
    </w:lvl>
    <w:lvl w:ilvl="2">
      <w:start w:val="1"/>
      <w:numFmt w:val="bullet"/>
      <w:lvlText w:val=""/>
      <w:lvlJc w:val="start"/>
      <w:pPr>
        <w:tabs>
          <w:tab w:val="num" w:pos="4320"/>
        </w:tabs>
        <w:ind w:start="4320" w:hanging="360"/>
      </w:pPr>
      <w:rPr>
        <w:rFonts w:ascii="Wingdings" w:hAnsi="Wingdings" w:cs="Wingdings" w:hint="default"/>
      </w:rPr>
    </w:lvl>
    <w:lvl w:ilvl="3">
      <w:start w:val="1"/>
      <w:numFmt w:val="bullet"/>
      <w:lvlText w:val=""/>
      <w:lvlJc w:val="start"/>
      <w:pPr>
        <w:tabs>
          <w:tab w:val="num" w:pos="5040"/>
        </w:tabs>
        <w:ind w:start="5040" w:hanging="360"/>
      </w:pPr>
      <w:rPr>
        <w:rFonts w:ascii="Symbol" w:hAnsi="Symbol" w:cs="Symbol" w:hint="default"/>
      </w:rPr>
    </w:lvl>
    <w:lvl w:ilvl="4">
      <w:start w:val="1"/>
      <w:numFmt w:val="bullet"/>
      <w:lvlText w:val="o"/>
      <w:lvlJc w:val="start"/>
      <w:pPr>
        <w:tabs>
          <w:tab w:val="num" w:pos="5760"/>
        </w:tabs>
        <w:ind w:start="5760" w:hanging="360"/>
      </w:pPr>
      <w:rPr>
        <w:rFonts w:ascii="Courier New" w:hAnsi="Courier New" w:cs="Courier New" w:hint="default"/>
      </w:rPr>
    </w:lvl>
    <w:lvl w:ilvl="5">
      <w:start w:val="1"/>
      <w:numFmt w:val="bullet"/>
      <w:lvlText w:val=""/>
      <w:lvlJc w:val="start"/>
      <w:pPr>
        <w:tabs>
          <w:tab w:val="num" w:pos="6480"/>
        </w:tabs>
        <w:ind w:start="6480" w:hanging="360"/>
      </w:pPr>
      <w:rPr>
        <w:rFonts w:ascii="Wingdings" w:hAnsi="Wingdings" w:cs="Wingdings" w:hint="default"/>
      </w:rPr>
    </w:lvl>
    <w:lvl w:ilvl="6">
      <w:start w:val="1"/>
      <w:numFmt w:val="bullet"/>
      <w:lvlText w:val=""/>
      <w:lvlJc w:val="start"/>
      <w:pPr>
        <w:tabs>
          <w:tab w:val="num" w:pos="7200"/>
        </w:tabs>
        <w:ind w:start="7200" w:hanging="360"/>
      </w:pPr>
      <w:rPr>
        <w:rFonts w:ascii="Symbol" w:hAnsi="Symbol" w:cs="Symbol" w:hint="default"/>
      </w:rPr>
    </w:lvl>
    <w:lvl w:ilvl="7">
      <w:start w:val="1"/>
      <w:numFmt w:val="bullet"/>
      <w:lvlText w:val="o"/>
      <w:lvlJc w:val="start"/>
      <w:pPr>
        <w:tabs>
          <w:tab w:val="num" w:pos="7920"/>
        </w:tabs>
        <w:ind w:start="7920" w:hanging="360"/>
      </w:pPr>
      <w:rPr>
        <w:rFonts w:ascii="Courier New" w:hAnsi="Courier New" w:cs="Courier New" w:hint="default"/>
      </w:rPr>
    </w:lvl>
    <w:lvl w:ilvl="8">
      <w:start w:val="1"/>
      <w:numFmt w:val="bullet"/>
      <w:lvlText w:val=""/>
      <w:lvlJc w:val="start"/>
      <w:pPr>
        <w:tabs>
          <w:tab w:val="num" w:pos="8640"/>
        </w:tabs>
        <w:ind w:start="8640" w:hanging="360"/>
      </w:pPr>
      <w:rPr>
        <w:rFonts w:ascii="Wingdings" w:hAnsi="Wingdings" w:cs="Wingdings" w:hint="default"/>
      </w:rPr>
    </w:lvl>
  </w:abstractNum>
  <w:abstractNum w:abstractNumId="3">
    <w:lvl w:ilvl="0">
      <w:start w:val="1"/>
      <w:numFmt w:val="bullet"/>
      <w:lvlText w:val=""/>
      <w:lvlJc w:val="start"/>
      <w:pPr>
        <w:tabs>
          <w:tab w:val="num" w:pos="4028"/>
        </w:tabs>
        <w:ind w:start="4028" w:hanging="360"/>
      </w:pPr>
      <w:rPr>
        <w:rFonts w:ascii="Wingdings" w:hAnsi="Wingdings" w:cs="Wingdings" w:hint="default"/>
      </w:rPr>
    </w:lvl>
    <w:lvl w:ilvl="1">
      <w:start w:val="1"/>
      <w:numFmt w:val="bullet"/>
      <w:lvlText w:val="o"/>
      <w:lvlJc w:val="start"/>
      <w:pPr>
        <w:tabs>
          <w:tab w:val="num" w:pos="3668"/>
        </w:tabs>
        <w:ind w:start="3668" w:hanging="360"/>
      </w:pPr>
      <w:rPr>
        <w:rFonts w:ascii="Courier New" w:hAnsi="Courier New" w:cs="Courier New" w:hint="default"/>
      </w:rPr>
    </w:lvl>
    <w:lvl w:ilvl="2">
      <w:start w:val="1"/>
      <w:numFmt w:val="bullet"/>
      <w:lvlText w:val=""/>
      <w:lvlJc w:val="start"/>
      <w:pPr>
        <w:tabs>
          <w:tab w:val="num" w:pos="4388"/>
        </w:tabs>
        <w:ind w:start="4388" w:hanging="360"/>
      </w:pPr>
      <w:rPr>
        <w:rFonts w:ascii="Wingdings" w:hAnsi="Wingdings" w:cs="Wingdings" w:hint="default"/>
      </w:rPr>
    </w:lvl>
    <w:lvl w:ilvl="3">
      <w:start w:val="1"/>
      <w:numFmt w:val="bullet"/>
      <w:lvlText w:val=""/>
      <w:lvlJc w:val="start"/>
      <w:pPr>
        <w:tabs>
          <w:tab w:val="num" w:pos="5108"/>
        </w:tabs>
        <w:ind w:start="5108" w:hanging="360"/>
      </w:pPr>
      <w:rPr>
        <w:rFonts w:ascii="Symbol" w:hAnsi="Symbol" w:cs="Symbol" w:hint="default"/>
      </w:rPr>
    </w:lvl>
    <w:lvl w:ilvl="4">
      <w:start w:val="1"/>
      <w:numFmt w:val="bullet"/>
      <w:lvlText w:val="o"/>
      <w:lvlJc w:val="start"/>
      <w:pPr>
        <w:tabs>
          <w:tab w:val="num" w:pos="5828"/>
        </w:tabs>
        <w:ind w:start="5828" w:hanging="360"/>
      </w:pPr>
      <w:rPr>
        <w:rFonts w:ascii="Courier New" w:hAnsi="Courier New" w:cs="Courier New" w:hint="default"/>
      </w:rPr>
    </w:lvl>
    <w:lvl w:ilvl="5">
      <w:start w:val="1"/>
      <w:numFmt w:val="bullet"/>
      <w:lvlText w:val=""/>
      <w:lvlJc w:val="start"/>
      <w:pPr>
        <w:tabs>
          <w:tab w:val="num" w:pos="6548"/>
        </w:tabs>
        <w:ind w:start="6548" w:hanging="360"/>
      </w:pPr>
      <w:rPr>
        <w:rFonts w:ascii="Wingdings" w:hAnsi="Wingdings" w:cs="Wingdings" w:hint="default"/>
      </w:rPr>
    </w:lvl>
    <w:lvl w:ilvl="6">
      <w:start w:val="1"/>
      <w:numFmt w:val="bullet"/>
      <w:lvlText w:val=""/>
      <w:lvlJc w:val="start"/>
      <w:pPr>
        <w:tabs>
          <w:tab w:val="num" w:pos="7268"/>
        </w:tabs>
        <w:ind w:start="7268" w:hanging="360"/>
      </w:pPr>
      <w:rPr>
        <w:rFonts w:ascii="Symbol" w:hAnsi="Symbol" w:cs="Symbol" w:hint="default"/>
      </w:rPr>
    </w:lvl>
    <w:lvl w:ilvl="7">
      <w:start w:val="1"/>
      <w:numFmt w:val="bullet"/>
      <w:lvlText w:val="o"/>
      <w:lvlJc w:val="start"/>
      <w:pPr>
        <w:tabs>
          <w:tab w:val="num" w:pos="7988"/>
        </w:tabs>
        <w:ind w:start="7988" w:hanging="360"/>
      </w:pPr>
      <w:rPr>
        <w:rFonts w:ascii="Courier New" w:hAnsi="Courier New" w:cs="Courier New" w:hint="default"/>
      </w:rPr>
    </w:lvl>
    <w:lvl w:ilvl="8">
      <w:start w:val="1"/>
      <w:numFmt w:val="bullet"/>
      <w:lvlText w:val=""/>
      <w:lvlJc w:val="start"/>
      <w:pPr>
        <w:tabs>
          <w:tab w:val="num" w:pos="8708"/>
        </w:tabs>
        <w:ind w:start="8708"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firstLine="720" w:start="1440" w:end="0"/>
      <w:outlineLvl w:val="0"/>
    </w:pPr>
    <w:rPr>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2001-12-13T17:46:00Z</dcterms:created>
  <dc:creator>jdasovic</dc:creator>
  <dc:description/>
  <dc:language>en-CA</dc:language>
  <cp:lastModifiedBy>jdasovic</cp:lastModifiedBy>
  <dcterms:modified xsi:type="dcterms:W3CDTF">2001-12-13T19:41:00Z</dcterms:modified>
  <cp:revision>9</cp:revision>
  <dc:subject/>
  <dc:title>JEFFREY DASOVICH</dc:title>
</cp:coreProperties>
</file>