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Pemex EPC</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Horizon Offshore Contractors, Inc. ("Horizon")</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5"/>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Mike Pearson</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Engineering &amp; Construction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2"/>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10,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6"/>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Mateo Vegalara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3"/>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Mexico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16,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N/A</w:t>
                  </w:r>
                  <w:r/>
                  <w:r>
                    <w:rPr>
                      <w:sz w:val="20"/>
                      <w:rFonts w:cs="Arial" w:ascii="Arial" w:hAnsi="Arial"/>
                    </w:rPr>
                    <w:fldChar w:fldCharType="end"/>
                  </w:r>
                  <w:r>
                    <w:rPr>
                      <w:rFonts w:cs="Arial" w:ascii="Arial" w:hAnsi="Arial"/>
                      <w:sz w:val="20"/>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REQUESTED </w:t>
      </w:r>
    </w:p>
    <w:p>
      <w:pPr>
        <w:pStyle w:val="Normal"/>
        <w:numPr>
          <w:ilvl w:val="0"/>
          <w:numId w:val="4"/>
        </w:numPr>
        <w:rPr/>
      </w:pPr>
      <w:r>
        <w:rPr>
          <w:rFonts w:cs="Arial" w:ascii="Arial" w:hAnsi="Arial"/>
          <w:sz w:val="20"/>
        </w:rPr>
        <w:t>EEOS requests approval to sell its equity interest in the projects referenced below for a lump sum payment of $4,300,000.</w:t>
      </w:r>
    </w:p>
    <w:p>
      <w:pPr>
        <w:pStyle w:val="Normal"/>
        <w:numPr>
          <w:ilvl w:val="0"/>
          <w:numId w:val="4"/>
        </w:numPr>
        <w:rPr/>
      </w:pPr>
      <w:r>
        <w:rPr>
          <w:rFonts w:cs="Arial" w:ascii="Arial" w:hAnsi="Arial"/>
          <w:sz w:val="20"/>
        </w:rPr>
        <w:t>The outstanding loans to the projects will be terminated upon full repayment at closing. A post-closing adjustment, if necessary, for any difference between the actual and estimated principal and interest due at closing will be made as appropriate.  Therefore, the combined NPV of $752,000 to be recognized by EEOS will not be impacted.</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numPr>
          <w:ilvl w:val="0"/>
          <w:numId w:val="4"/>
        </w:numPr>
        <w:rPr>
          <w:rFonts w:ascii="Arial" w:hAnsi="Arial" w:cs="Arial"/>
          <w:sz w:val="20"/>
        </w:rPr>
      </w:pPr>
      <w:r>
        <w:rPr>
          <w:rFonts w:cs="Arial" w:ascii="Arial" w:hAnsi="Arial"/>
          <w:sz w:val="20"/>
        </w:rPr>
        <w:t xml:space="preserve">ECH Offshore (“ECH”), a Mexican limited liability company, was formed in April 2000 by a consortium comprised of Enron Power Construction Company (“EPCC”), Corporacion de Construcciones de Campeche S.A. de C.V. (“CCC”) and Horizon to execute an EPC contract (“EPC 63”) with Petroleos Mexicanos (“Pemex”) to install six pipelines in 150 ft. of water in the Gulf of Mexico.  </w:t>
      </w:r>
    </w:p>
    <w:p>
      <w:pPr>
        <w:pStyle w:val="Normal"/>
        <w:numPr>
          <w:ilvl w:val="0"/>
          <w:numId w:val="4"/>
        </w:numPr>
        <w:rPr>
          <w:rFonts w:ascii="Arial" w:hAnsi="Arial" w:cs="Arial"/>
          <w:sz w:val="20"/>
        </w:rPr>
      </w:pPr>
      <w:r>
        <w:rPr>
          <w:rFonts w:cs="Arial" w:ascii="Arial" w:hAnsi="Arial"/>
          <w:sz w:val="20"/>
        </w:rPr>
        <w:t>ECH was awarded a second EPC contract (“EPC 64”) in July 2000 with a similar scope work.  Both projects are part of Pemex’s overall Cantarell Field project.</w:t>
      </w:r>
    </w:p>
    <w:p>
      <w:pPr>
        <w:pStyle w:val="Normal"/>
        <w:numPr>
          <w:ilvl w:val="0"/>
          <w:numId w:val="4"/>
        </w:numPr>
        <w:rPr>
          <w:rFonts w:ascii="Arial" w:hAnsi="Arial" w:cs="Arial"/>
          <w:sz w:val="20"/>
        </w:rPr>
      </w:pPr>
      <w:r>
        <w:rPr>
          <w:rFonts w:cs="Arial" w:ascii="Arial" w:hAnsi="Arial"/>
          <w:sz w:val="20"/>
        </w:rPr>
        <w:t>EPCC is the sole project manager for both projects and provides procurement services and technical assistance. Enron Power Corporation provides revolving construction loans for both projects to ECH at Libor + 7%.  EPCC and Horizon share net profit on a 50/50 basis while CCC receives set fees for its work.</w:t>
      </w:r>
    </w:p>
    <w:p>
      <w:pPr>
        <w:pStyle w:val="Normal"/>
        <w:numPr>
          <w:ilvl w:val="0"/>
          <w:numId w:val="4"/>
        </w:numPr>
        <w:rPr>
          <w:rFonts w:ascii="Arial" w:hAnsi="Arial" w:cs="Arial"/>
          <w:sz w:val="20"/>
        </w:rPr>
      </w:pPr>
      <w:r>
        <w:rPr>
          <w:rFonts w:cs="Arial" w:ascii="Arial" w:hAnsi="Arial"/>
          <w:sz w:val="20"/>
        </w:rPr>
        <w:t xml:space="preserve">Progress on the base scope of work has been negatively impacted by three factors: lack of availability of owner supplied pipe, ECH being required to perform change order work on a priority basis, causing the base scope work to get performed during worse weather months than anticipated in the bid, and Pemex interference at the work site. ECH currently has weather/interference claims under review by Pemex.  The amount and the timing of collection on such claims are uncertain at this time.  Additionally, there have been substantial delays in invoicing and receiving payments from Pemex for both the milestone payments on work completed and claims. </w:t>
      </w:r>
    </w:p>
    <w:p>
      <w:pPr>
        <w:pStyle w:val="Normal"/>
        <w:numPr>
          <w:ilvl w:val="0"/>
          <w:numId w:val="4"/>
        </w:numPr>
        <w:rPr>
          <w:rFonts w:ascii="Arial" w:hAnsi="Arial" w:cs="Arial"/>
          <w:sz w:val="20"/>
        </w:rPr>
      </w:pPr>
      <w:r>
        <w:rPr>
          <w:rFonts w:cs="Arial" w:ascii="Arial" w:hAnsi="Arial"/>
          <w:sz w:val="20"/>
        </w:rPr>
        <w:t>Enron’s decision to strongly discourage the acceptance of any additional extra work not issued in a written change order and to focus entirely on completing base scope work has created differing views between the partners on ECH’s contractual obligations with Pemex.  The proposed divestiture of Enron’s total interest in the project will allow all parties to pursue their objectives without conflict.</w:t>
      </w:r>
    </w:p>
    <w:p>
      <w:pPr>
        <w:pStyle w:val="Normal"/>
        <w:numPr>
          <w:ilvl w:val="0"/>
          <w:numId w:val="4"/>
        </w:numPr>
        <w:rPr>
          <w:rFonts w:ascii="Arial" w:hAnsi="Arial" w:cs="Arial"/>
          <w:sz w:val="20"/>
        </w:rPr>
      </w:pPr>
      <w:r>
        <w:rPr>
          <w:rFonts w:cs="Arial" w:ascii="Arial" w:hAnsi="Arial"/>
          <w:sz w:val="20"/>
        </w:rPr>
        <w:t>Horizon may retain selected Enron project team members at agreed rates and at no liability to Enron.</w:t>
      </w:r>
    </w:p>
    <w:p>
      <w:pPr>
        <w:pStyle w:val="Heading2"/>
        <w:widowControl/>
        <w:pBdr>
          <w:top w:val="single" w:sz="8" w:space="1" w:color="000000"/>
        </w:pBdr>
        <w:ind w:hanging="0" w:start="0" w:end="-36"/>
        <w:rPr/>
      </w:pPr>
      <w:r>
        <w:rPr/>
        <w:t>TRANSACTION SOURCES AND USES OF FUNDS (in 000s)</w:t>
      </w:r>
    </w:p>
    <w:tbl>
      <w:tblPr>
        <w:tblW w:w="9180" w:type="dxa"/>
        <w:jc w:val="start"/>
        <w:tblInd w:w="378" w:type="dxa"/>
        <w:tblLayout w:type="fixed"/>
        <w:tblCellMar>
          <w:top w:w="0" w:type="dxa"/>
          <w:start w:w="108" w:type="dxa"/>
          <w:bottom w:w="0" w:type="dxa"/>
          <w:end w:w="108" w:type="dxa"/>
        </w:tblCellMar>
      </w:tblPr>
      <w:tblGrid>
        <w:gridCol w:w="3510"/>
        <w:gridCol w:w="1080"/>
        <w:gridCol w:w="540"/>
        <w:gridCol w:w="3060"/>
        <w:gridCol w:w="990"/>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990"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Normal"/>
              <w:rPr>
                <w:rFonts w:ascii="Arial" w:hAnsi="Arial" w:cs="Arial"/>
                <w:sz w:val="20"/>
              </w:rPr>
            </w:pPr>
            <w:r>
              <w:rPr>
                <w:rFonts w:cs="Arial" w:ascii="Arial" w:hAnsi="Arial"/>
                <w:sz w:val="20"/>
              </w:rPr>
              <w:t>Cash</w:t>
            </w:r>
          </w:p>
        </w:tc>
        <w:tc>
          <w:tcPr>
            <w:tcW w:w="1080" w:type="dxa"/>
            <w:tcBorders/>
          </w:tcPr>
          <w:p>
            <w:pPr>
              <w:pStyle w:val="Normal"/>
              <w:jc w:val="end"/>
              <w:rPr>
                <w:rFonts w:ascii="Arial" w:hAnsi="Arial" w:cs="Arial"/>
                <w:sz w:val="20"/>
              </w:rPr>
            </w:pPr>
            <w:r>
              <w:rPr>
                <w:rFonts w:cs="Arial" w:ascii="Arial" w:hAnsi="Arial"/>
                <w:sz w:val="20"/>
              </w:rPr>
              <w:t>$24,572</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Sale of equity interest</w:t>
            </w:r>
          </w:p>
        </w:tc>
        <w:tc>
          <w:tcPr>
            <w:tcW w:w="990" w:type="dxa"/>
            <w:tcBorders/>
          </w:tcPr>
          <w:p>
            <w:pPr>
              <w:pStyle w:val="Normal"/>
              <w:jc w:val="end"/>
              <w:rPr>
                <w:rFonts w:ascii="Arial" w:hAnsi="Arial" w:cs="Arial"/>
                <w:sz w:val="20"/>
              </w:rPr>
            </w:pPr>
            <w:r>
              <w:rPr>
                <w:rFonts w:cs="Arial" w:ascii="Arial" w:hAnsi="Arial"/>
                <w:sz w:val="20"/>
              </w:rPr>
              <w:t>$4,300</w:t>
            </w:r>
          </w:p>
        </w:tc>
      </w:tr>
      <w:tr>
        <w:trPr/>
        <w:tc>
          <w:tcPr>
            <w:tcW w:w="35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Loan Repayment</w:t>
            </w:r>
          </w:p>
        </w:tc>
        <w:tc>
          <w:tcPr>
            <w:tcW w:w="990" w:type="dxa"/>
            <w:tcBorders/>
          </w:tcPr>
          <w:p>
            <w:pPr>
              <w:pStyle w:val="Normal"/>
              <w:jc w:val="end"/>
              <w:rPr>
                <w:rFonts w:ascii="Arial" w:hAnsi="Arial" w:cs="Arial"/>
                <w:sz w:val="20"/>
              </w:rPr>
            </w:pPr>
            <w:r>
              <w:rPr>
                <w:rFonts w:cs="Arial" w:ascii="Arial" w:hAnsi="Arial"/>
                <w:sz w:val="20"/>
              </w:rPr>
              <w:t>20,272</w:t>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rPr>
                <w:rFonts w:cs="Arial" w:ascii="Arial" w:hAnsi="Arial"/>
                <w:sz w:val="20"/>
              </w:rPr>
              <w:t>$24,572</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$24,572</w:t>
            </w:r>
            <w:r/>
            <w:r>
              <w:rPr>
                <w:sz w:val="20"/>
                <w:rFonts w:cs="Arial" w:ascii="Arial" w:hAnsi="Arial"/>
                <w:lang w:val="en-CA" w:eastAsia="en-CA"/>
              </w:rPr>
              <w:fldChar w:fldCharType="end"/>
            </w:r>
            <w:r>
              <w:rPr>
                <w:rFonts w:cs="Arial" w:ascii="Arial" w:hAnsi="Arial"/>
                <w:sz w:val="20"/>
                <w:lang w:val="en-CA" w:eastAsia="en-CA"/>
              </w:rPr>
            </w:r>
          </w:p>
        </w:tc>
      </w:tr>
    </w:tbl>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numPr>
          <w:ilvl w:val="0"/>
          <w:numId w:val="6"/>
        </w:numPr>
        <w:ind w:hanging="360" w:start="360" w:end="-36"/>
        <w:rPr>
          <w:rFonts w:ascii="Arial" w:hAnsi="Arial" w:cs="Arial"/>
          <w:sz w:val="20"/>
        </w:rPr>
      </w:pPr>
      <w:r>
        <w:rPr>
          <w:rFonts w:cs="Arial" w:ascii="Arial" w:hAnsi="Arial"/>
          <w:sz w:val="20"/>
        </w:rPr>
        <w:t>The realized NPV, discounted at a capital price of 30%, is $752,000 on a combined basis, or $(453,000) for EPC 63 and $1,205,000 for EPC 64, respectively.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Residual Risks</w:t>
            </w:r>
          </w:p>
          <w:p>
            <w:pPr>
              <w:pStyle w:val="Normal"/>
              <w:numPr>
                <w:ilvl w:val="0"/>
                <w:numId w:val="2"/>
              </w:numPr>
              <w:rPr>
                <w:rFonts w:ascii="Arial" w:hAnsi="Arial" w:cs="Arial"/>
                <w:sz w:val="20"/>
              </w:rPr>
            </w:pPr>
            <w:r>
              <w:rPr>
                <w:rFonts w:cs="Arial" w:ascii="Arial" w:hAnsi="Arial"/>
                <w:sz w:val="20"/>
              </w:rPr>
              <w:t>Under the contract with Pemex, ECH arranged for performance bonds with a face value equal to 10% of contract value that are solely backed by an Enron guarantee.  To the extent that a replacement bond is not arranged at closing to fully and unconditionally release Enron from further obligations, and that a back-to-back bond obtained by ECH does not fully relieve Enron from future exposure, Enron may retain some residual risks on ECH’s performance.</w:t>
            </w:r>
          </w:p>
          <w:p>
            <w:pPr>
              <w:pStyle w:val="Normal"/>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EEOS has obtained verbal confirmation from Liberty Mutual, which issued the performance bond on ECH for the projects, to accept Horizon as a replacement for Enron and fully release Enron from the bond obligations.  However, if the parties fail to finalize the definitive agreement by closing and Horizon will have to obtain a “back-to-back” bond to cover Enron’s future exposure, the bond will be required to be </w:t>
            </w:r>
            <w:r>
              <w:rPr>
                <w:rFonts w:cs="Arial" w:ascii="Arial" w:hAnsi="Arial"/>
                <w:bCs/>
                <w:sz w:val="20"/>
              </w:rPr>
              <w:t>issued by an issuer in form and substance that is satisfactory to EEOS and RAC.</w:t>
            </w:r>
          </w:p>
          <w:p>
            <w:pPr>
              <w:pStyle w:val="Normal"/>
              <w:numPr>
                <w:ilvl w:val="0"/>
                <w:numId w:val="2"/>
              </w:numPr>
              <w:jc w:val="both"/>
              <w:rPr>
                <w:rFonts w:ascii="Arial" w:hAnsi="Arial" w:cs="Arial"/>
                <w:sz w:val="20"/>
              </w:rPr>
            </w:pPr>
            <w:r>
              <w:rPr>
                <w:rFonts w:cs="Arial" w:ascii="Arial" w:hAnsi="Arial"/>
                <w:sz w:val="20"/>
              </w:rPr>
              <w:t>At closing, Horizon will indemnify and hold Enron harmless against any and all claims, damages, obligations, or warranty responsibilities arising out of or in connection with the projects.</w:t>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numPr>
          <w:ilvl w:val="0"/>
          <w:numId w:val="5"/>
        </w:numPr>
        <w:rPr>
          <w:rFonts w:ascii="Arial" w:hAnsi="Arial" w:cs="Arial"/>
          <w:bCs/>
          <w:sz w:val="20"/>
        </w:rPr>
      </w:pPr>
      <w:r>
        <w:rPr>
          <w:rFonts w:cs="Arial" w:ascii="Arial" w:hAnsi="Arial"/>
          <w:bCs/>
          <w:sz w:val="20"/>
        </w:rPr>
        <w:t>RAC highly recommends the proposed divestiture based on the realized return.  Pemex has a track record of delaying payments and interfering with the base scope of work with change orders.  Additionally, neither the projects nor the financing of any of the consortium members fit EEOS’ strategic directions.</w:t>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3"/>
        </w:numPr>
        <w:rPr>
          <w:rFonts w:ascii="Arial" w:hAnsi="Arial" w:cs="Arial"/>
          <w:bCs/>
          <w:sz w:val="20"/>
        </w:rPr>
      </w:pPr>
      <w:r>
        <w:rPr>
          <w:rFonts w:cs="Arial" w:ascii="Arial" w:hAnsi="Arial"/>
          <w:bCs/>
          <w:sz w:val="20"/>
        </w:rPr>
        <w:t>In addition to other usual and standard conditions to closing, Horizon is required to obtain a performance bond, issued by an issuer in form and substance that is satisfactory to EEOS and RAC, to provide Enron back-to-back coverage of any potential exposure under the performance and warranty bonds issued for the projects.</w:t>
      </w:r>
    </w:p>
    <w:p>
      <w:pPr>
        <w:pStyle w:val="Normal"/>
        <w:rPr>
          <w:rFonts w:ascii="Arial" w:hAnsi="Arial" w:cs="Arial"/>
          <w:bCs/>
          <w:sz w:val="20"/>
        </w:rPr>
      </w:pPr>
      <w:r>
        <w:rPr>
          <w:rFonts w:cs="Arial" w:ascii="Arial" w:hAnsi="Arial"/>
          <w:bCs/>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napToGrid w:val="false"/>
              <w:spacing w:before="120" w:after="0"/>
              <w:rPr>
                <w:rFonts w:ascii="Arial" w:hAnsi="Arial" w:cs="Arial"/>
                <w:b/>
                <w:sz w:val="20"/>
              </w:rPr>
            </w:pPr>
            <w:r>
              <w:rPr>
                <w:rFonts w:cs="Arial" w:ascii="Arial" w:hAnsi="Arial"/>
                <w:b/>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Schwartzenburg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2001-05-08T17:08:00Z</dcterms:created>
  <dc:creator>kjolly</dc:creator>
  <dc:description/>
  <dc:language>en-CA</dc:language>
  <cp:lastModifiedBy>kbarbou</cp:lastModifiedBy>
  <cp:lastPrinted>2001-04-26T18:16:00Z</cp:lastPrinted>
  <dcterms:modified xsi:type="dcterms:W3CDTF">2001-05-10T16:27:00Z</dcterms:modified>
  <cp:revision>8</cp:revision>
  <dc:subject/>
  <dc:title>ENRON RISK ASSESSMENT AND CONTROL</dc:title>
</cp:coreProperties>
</file>