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ENRON RISK ASSESSMENT AND CONTROL</w:t>
      </w:r>
    </w:p>
    <w:p>
      <w:pPr>
        <w:pStyle w:val="Heading6"/>
        <w:ind w:hanging="0" w:star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DEAL APPROVAL SHEET</w:t>
      </w:r>
    </w:p>
    <w:p>
      <w:pPr>
        <w:pStyle w:val="Normal"/>
        <w:tabs>
          <w:tab w:val="clear" w:pos="720"/>
          <w:tab w:val="left" w:pos="360" w:leader="none"/>
        </w:tabs>
        <w:rPr>
          <w:rFonts w:ascii="Times New Roman" w:hAnsi="Times New Roman" w:cs="Times New Roman"/>
        </w:rPr>
      </w:pPr>
      <w:r>
        <w:rPr>
          <w:rFonts w:cs="Times New Roman"/>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w:t>
            </w:r>
            <w:r>
              <w:rPr>
                <w:b/>
                <w:bCs/>
              </w:rPr>
              <w:t>Pastoria 4a - Divestiture</w:t>
            </w:r>
          </w:p>
          <w:p>
            <w:pPr>
              <w:pStyle w:val="Normal"/>
              <w:ind w:end="792"/>
              <w:rPr/>
            </w:pPr>
            <w:r>
              <w:rPr/>
              <w:t>Counterparty:  Pastoria Energy Center LLC</w:t>
            </w:r>
          </w:p>
          <w:p>
            <w:pPr>
              <w:pStyle w:val="Normal"/>
              <w:rPr/>
            </w:pPr>
            <w:r>
              <w:rPr/>
              <w:t>Business Unit:  ENA West Origination</w:t>
            </w:r>
          </w:p>
          <w:p>
            <w:pPr>
              <w:pStyle w:val="Normal"/>
              <w:rPr/>
            </w:pPr>
            <w:r>
              <w:rPr/>
              <w:t>Business Unit Originator:  David Parquet</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March 6, 2001</w:t>
            </w:r>
          </w:p>
          <w:p>
            <w:pPr>
              <w:pStyle w:val="Normal"/>
              <w:ind w:firstLine="90" w:start="-198" w:end="-1095"/>
              <w:rPr/>
            </w:pPr>
            <w:r>
              <w:rPr/>
              <w:t>RAC Analyst/Underwriter:  NA/Karen Barbour</w:t>
            </w:r>
          </w:p>
          <w:p>
            <w:pPr>
              <w:pStyle w:val="Normal"/>
              <w:ind w:firstLine="90" w:start="-198" w:end="-738"/>
              <w:rPr/>
            </w:pPr>
            <w:r>
              <w:rPr/>
              <w:t>Investment Type:  Divestiture</w:t>
            </w:r>
          </w:p>
          <w:p>
            <w:pPr>
              <w:pStyle w:val="Normal"/>
              <w:ind w:firstLine="90" w:start="-198" w:end="-738"/>
              <w:rPr/>
            </w:pPr>
            <w:r>
              <w:rPr/>
              <w:t>Capital Funding Source(s):  NA</w:t>
            </w:r>
          </w:p>
          <w:p>
            <w:pPr>
              <w:pStyle w:val="Normal"/>
              <w:ind w:firstLine="90" w:start="-198" w:end="-738"/>
              <w:rPr/>
            </w:pPr>
            <w:r>
              <w:rPr/>
              <w:t>Expected Signing Date:  March 12, 2001</w:t>
            </w:r>
          </w:p>
          <w:p>
            <w:pPr>
              <w:pStyle w:val="Normal"/>
              <w:ind w:firstLine="90" w:start="-198" w:end="-738"/>
              <w:rPr/>
            </w:pPr>
            <w:r>
              <w:rPr/>
              <w:t>Expected Closing Date:  April 30, 2001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APPROVAL REQUESTED</w:t>
      </w:r>
    </w:p>
    <w:p>
      <w:pPr>
        <w:pStyle w:val="Normal"/>
        <w:numPr>
          <w:ilvl w:val="0"/>
          <w:numId w:val="13"/>
        </w:numPr>
        <w:rPr/>
      </w:pPr>
      <w:r>
        <w:rPr/>
        <w:t>To execute a purchase and sale agreement with Pastoria Energy Center LLC (the “Buyer”), a wholly owned subsidiary of Calpine Corporation, for the sale of 100% interest in Pastoria Energy Facility LLC (“Pastoria”).</w:t>
      </w:r>
    </w:p>
    <w:p>
      <w:pPr>
        <w:pStyle w:val="Normal"/>
        <w:rPr/>
      </w:pPr>
      <w:r>
        <w:rPr/>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EXPOSURE SUMMARY – NA, divestiture</w:t>
      </w:r>
    </w:p>
    <w:p>
      <w:pPr>
        <w:pStyle w:val="Normal"/>
        <w:rPr/>
      </w:pPr>
      <w:r>
        <w:rPr/>
        <w:tab/>
        <w:tab/>
      </w:r>
    </w:p>
    <w:p>
      <w:pPr>
        <w:pStyle w:val="Heading2"/>
        <w:widowControl/>
        <w:pBdr>
          <w:top w:val="single" w:sz="8" w:space="1" w:color="000000"/>
        </w:pBdr>
        <w:tabs>
          <w:tab w:val="clear" w:pos="720"/>
          <w:tab w:val="left" w:pos="360" w:leader="none"/>
        </w:tabs>
        <w:ind w:hanging="0" w:start="0" w:end="-36"/>
        <w:rPr>
          <w:i w:val="false"/>
          <w:i w:val="false"/>
          <w:iCs w:val="false"/>
        </w:rPr>
      </w:pPr>
      <w:r>
        <w:rPr>
          <w:i w:val="false"/>
          <w:iCs w:val="false"/>
        </w:rPr>
        <w:t>DEAL DESCRIPTION</w:t>
      </w:r>
    </w:p>
    <w:p>
      <w:pPr>
        <w:pStyle w:val="Normal"/>
        <w:numPr>
          <w:ilvl w:val="0"/>
          <w:numId w:val="4"/>
        </w:numPr>
        <w:ind w:hanging="360" w:start="360" w:end="-36"/>
        <w:jc w:val="both"/>
        <w:rPr/>
      </w:pPr>
      <w:r>
        <w:rPr/>
        <w:t xml:space="preserve">ENA is developing Pastoria, a 750MW gas-fired combined-cycle merchant power plant in Kern County, California (the “Project”).  The development phase is essentially completed, with all material state and federal permits obtained.  </w:t>
      </w:r>
    </w:p>
    <w:p>
      <w:pPr>
        <w:pStyle w:val="Normal"/>
        <w:numPr>
          <w:ilvl w:val="0"/>
          <w:numId w:val="4"/>
        </w:numPr>
        <w:ind w:hanging="360" w:start="360" w:end="-36"/>
        <w:jc w:val="both"/>
        <w:rPr/>
      </w:pPr>
      <w:r>
        <w:rPr/>
        <w:t>ENA conducted a sales process and selected Calpine as the preferred bidder over five other parties.  A Purchase and Sale Agreement (the “PSA”) is currently being finalized, and is expected to be signed on or about March 12, 2001.  Closing is expected to occur about 30 days later.  The PSA has a termination date of April 30, 2001.  Calpine Corporation will guarantee the Buyer’s obligation to ENA under the PSA.</w:t>
      </w:r>
    </w:p>
    <w:p>
      <w:pPr>
        <w:pStyle w:val="Normal"/>
        <w:numPr>
          <w:ilvl w:val="0"/>
          <w:numId w:val="4"/>
        </w:numPr>
        <w:ind w:hanging="360" w:start="360" w:end="-36"/>
        <w:jc w:val="both"/>
        <w:rPr/>
      </w:pPr>
      <w:r>
        <w:rPr/>
        <w:t>Having received all material state and federal permits required to commence construction, the sale is subject only to the following conditions to closing, which must be satisfied by April 30, 2001:</w:t>
      </w:r>
    </w:p>
    <w:p>
      <w:pPr>
        <w:pStyle w:val="Normal"/>
        <w:numPr>
          <w:ilvl w:val="0"/>
          <w:numId w:val="9"/>
        </w:numPr>
        <w:ind w:hanging="360" w:start="720" w:end="-36"/>
        <w:jc w:val="both"/>
        <w:rPr/>
      </w:pPr>
      <w:r>
        <w:rPr/>
        <w:t>Execution of the back-up water supply agreement between Azurix (assignable to Pastoria) and Kern Water Bank Authority, as discussed more in detail in the “</w:t>
      </w:r>
      <w:r>
        <w:rPr>
          <w:b/>
          <w:bCs/>
          <w:caps/>
        </w:rPr>
        <w:t>risk matrix</w:t>
      </w:r>
      <w:r>
        <w:rPr/>
        <w:t>”;</w:t>
      </w:r>
    </w:p>
    <w:p>
      <w:pPr>
        <w:pStyle w:val="Normal"/>
        <w:numPr>
          <w:ilvl w:val="0"/>
          <w:numId w:val="9"/>
        </w:numPr>
        <w:ind w:hanging="360" w:start="720" w:end="-36"/>
        <w:jc w:val="both"/>
        <w:rPr/>
      </w:pPr>
      <w:r>
        <w:rPr/>
        <w:t>ENA’s representations and warranties made in the PSA must be materially true and correct as of the closing date;</w:t>
      </w:r>
    </w:p>
    <w:p>
      <w:pPr>
        <w:pStyle w:val="Normal"/>
        <w:numPr>
          <w:ilvl w:val="0"/>
          <w:numId w:val="9"/>
        </w:numPr>
        <w:ind w:hanging="360" w:start="720" w:end="-36"/>
        <w:jc w:val="both"/>
        <w:rPr/>
      </w:pPr>
      <w:r>
        <w:rPr/>
        <w:t>Release of ENA from its obligations under the guarantee for a gas transportation commitment, as discussed more in detail in the “</w:t>
      </w:r>
      <w:r>
        <w:rPr>
          <w:b/>
          <w:bCs/>
          <w:caps/>
        </w:rPr>
        <w:t>risk matrix</w:t>
      </w:r>
      <w:r>
        <w:rPr/>
        <w:t>”.</w:t>
      </w:r>
    </w:p>
    <w:p>
      <w:pPr>
        <w:pStyle w:val="Normal"/>
        <w:numPr>
          <w:ilvl w:val="0"/>
          <w:numId w:val="4"/>
        </w:numPr>
        <w:ind w:hanging="360" w:start="360" w:end="-36"/>
        <w:jc w:val="both"/>
        <w:rPr/>
      </w:pPr>
      <w:r>
        <w:rPr/>
        <w:t>The sale includes three GE 7FA power islands covered by two contracts currently held by E-Next Generation LLC for the benefit of Pastoria.</w:t>
      </w:r>
    </w:p>
    <w:p>
      <w:pPr>
        <w:pStyle w:val="Normal"/>
        <w:numPr>
          <w:ilvl w:val="0"/>
          <w:numId w:val="4"/>
        </w:numPr>
        <w:ind w:hanging="360" w:start="360" w:end="-36"/>
        <w:jc w:val="both"/>
        <w:rPr/>
      </w:pPr>
      <w:r>
        <w:rPr/>
        <w:t xml:space="preserve">The sales price will reimburse ENA for its development costs and turbine payments plus a promote fee of approximately $36.2 million.  The sales price may be adjusted prior to closing depending on ENA’s ability to resolve the aforementioned back-up water arrangement.  </w:t>
      </w:r>
      <w:r>
        <w:rPr>
          <w:b/>
          <w:bCs/>
        </w:rPr>
        <w:t>In no event, however, will the purchase price be adjusted such that ENA’s promote fee is less than $30 million for the sale of this project</w:t>
      </w:r>
      <w:r>
        <w:rPr/>
        <w:t>.</w:t>
      </w:r>
    </w:p>
    <w:p>
      <w:pPr>
        <w:pStyle w:val="Normal"/>
        <w:ind w:end="-36"/>
        <w:jc w:val="both"/>
        <w:rPr/>
      </w:pPr>
      <w:r>
        <w:rPr/>
      </w:r>
    </w:p>
    <w:p>
      <w:pPr>
        <w:pStyle w:val="Normal"/>
        <w:pBdr>
          <w:top w:val="single" w:sz="4" w:space="1" w:color="000000"/>
        </w:pBdr>
        <w:ind w:end="-36"/>
        <w:jc w:val="both"/>
        <w:rPr>
          <w:b/>
          <w:bCs/>
          <w:caps/>
        </w:rPr>
      </w:pPr>
      <w:r>
        <w:rPr>
          <w:b/>
          <w:bCs/>
          <w:caps/>
        </w:rPr>
        <w:t>Return summary</w:t>
      </w:r>
    </w:p>
    <w:p>
      <w:pPr>
        <w:pStyle w:val="Normal"/>
        <w:numPr>
          <w:ilvl w:val="0"/>
          <w:numId w:val="7"/>
        </w:numPr>
        <w:ind w:hanging="360" w:start="360" w:end="-36"/>
        <w:jc w:val="both"/>
        <w:rPr>
          <w:b/>
          <w:bCs/>
        </w:rPr>
      </w:pPr>
      <w:r>
        <w:rPr/>
        <w:t>The minimum required sales price will provide ENA with a promote fee of $30 million.</w:t>
      </w:r>
    </w:p>
    <w:p>
      <w:pPr>
        <w:pStyle w:val="Normal"/>
        <w:numPr>
          <w:ilvl w:val="0"/>
          <w:numId w:val="7"/>
        </w:numPr>
        <w:ind w:hanging="360" w:start="360" w:end="-36"/>
        <w:jc w:val="both"/>
        <w:rPr>
          <w:b/>
          <w:bCs/>
        </w:rPr>
      </w:pPr>
      <w:r>
        <w:rPr/>
        <w:t>If the Buyer expands the Project by at least 200 MW, ENA will be paid an additional $6 million at the commencement of construction of such expansion.</w:t>
      </w:r>
    </w:p>
    <w:p>
      <w:pPr>
        <w:pStyle w:val="Normal"/>
        <w:numPr>
          <w:ilvl w:val="0"/>
          <w:numId w:val="7"/>
        </w:numPr>
        <w:ind w:hanging="360" w:start="360" w:end="-36"/>
        <w:jc w:val="both"/>
        <w:rPr>
          <w:b/>
          <w:bCs/>
        </w:rPr>
      </w:pPr>
      <w:r>
        <w:rPr/>
        <w:t>Upon closing, ENA West Power will receive an additional $6.6 million from the Catalytica equity account.</w:t>
      </w:r>
    </w:p>
    <w:p>
      <w:pPr>
        <w:pStyle w:val="Normal"/>
        <w:ind w:end="-36"/>
        <w:jc w:val="both"/>
        <w:rPr>
          <w:b/>
          <w:bCs/>
        </w:rPr>
      </w:pPr>
      <w:r>
        <w:rPr>
          <w:b/>
          <w:bCs/>
        </w:rPr>
      </w:r>
    </w:p>
    <w:p>
      <w:pPr>
        <w:pStyle w:val="Heading2"/>
        <w:widowControl/>
        <w:pBdr>
          <w:top w:val="single" w:sz="4" w:space="1" w:color="000000"/>
        </w:pBdr>
        <w:tabs>
          <w:tab w:val="clear" w:pos="720"/>
          <w:tab w:val="left" w:pos="360" w:leader="none"/>
        </w:tabs>
        <w:ind w:hanging="0" w:start="0" w:end="-36"/>
        <w:rPr>
          <w:i w:val="false"/>
          <w:i w:val="false"/>
          <w:iCs w:val="false"/>
        </w:rPr>
      </w:pPr>
      <w:r>
        <w:rPr>
          <w:i w:val="false"/>
          <w:iCs w:val="false"/>
        </w:rPr>
        <w:t xml:space="preserve">TRANSACTION UPSIDES/DOWNSIDES </w:t>
      </w:r>
    </w:p>
    <w:p>
      <w:pPr>
        <w:pStyle w:val="Normal"/>
        <w:numPr>
          <w:ilvl w:val="0"/>
          <w:numId w:val="7"/>
        </w:numPr>
        <w:ind w:hanging="360" w:start="360" w:end="-36"/>
        <w:jc w:val="both"/>
        <w:rPr/>
      </w:pPr>
      <w:r>
        <w:rPr/>
        <w:t>ENA could receive additional value from a potential fixed price power contract currently being negotiated with the California Department of Water Resources (“DWR”).  ENA is also negotiating a sharing arrangement with Calpine relating to such potential contract.</w:t>
      </w:r>
    </w:p>
    <w:p>
      <w:pPr>
        <w:pStyle w:val="Normal"/>
        <w:rPr/>
      </w:pPr>
      <w:r>
        <w:rPr/>
      </w:r>
    </w:p>
    <w:p>
      <w:pPr>
        <w:pStyle w:val="Normal"/>
        <w:tabs>
          <w:tab w:val="clear" w:pos="720"/>
          <w:tab w:val="left" w:pos="360" w:leader="none"/>
        </w:tabs>
        <w:ind w:end="-36"/>
        <w:rPr/>
      </w:pPr>
      <w:r>
        <w:rPr/>
      </w:r>
    </w:p>
    <w:p>
      <w:pPr>
        <w:pStyle w:val="Heading2"/>
        <w:widowControl/>
        <w:pBdr>
          <w:top w:val="single" w:sz="8" w:space="1" w:color="000000"/>
        </w:pBdr>
        <w:tabs>
          <w:tab w:val="clear" w:pos="720"/>
          <w:tab w:val="left" w:pos="360" w:leader="none"/>
        </w:tabs>
        <w:ind w:hanging="0" w:start="0" w:end="-36"/>
        <w:rPr>
          <w:i w:val="false"/>
          <w:i w:val="false"/>
          <w:iCs w:val="false"/>
          <w:caps/>
        </w:rPr>
      </w:pPr>
      <w:r>
        <w:rPr>
          <w:i w:val="false"/>
          <w:iCs w:val="false"/>
          <w:caps/>
        </w:rPr>
        <w:t>Milestones</w:t>
      </w:r>
    </w:p>
    <w:p>
      <w:pPr>
        <w:pStyle w:val="Normal"/>
        <w:rPr>
          <w:i/>
          <w:i/>
          <w:iCs/>
          <w:caps/>
        </w:rPr>
      </w:pPr>
      <w:r>
        <w:rPr>
          <w:i/>
          <w:iCs/>
          <w:caps/>
        </w:rPr>
      </w:r>
    </w:p>
    <w:tbl>
      <w:tblPr>
        <w:tblW w:w="8550" w:type="dxa"/>
        <w:jc w:val="start"/>
        <w:tblInd w:w="108" w:type="dxa"/>
        <w:tblLayout w:type="fixed"/>
        <w:tblCellMar>
          <w:top w:w="0" w:type="dxa"/>
          <w:start w:w="108" w:type="dxa"/>
          <w:bottom w:w="0" w:type="dxa"/>
          <w:end w:w="108" w:type="dxa"/>
        </w:tblCellMar>
      </w:tblPr>
      <w:tblGrid>
        <w:gridCol w:w="6840"/>
        <w:gridCol w:w="1710"/>
      </w:tblGrid>
      <w:tr>
        <w:trPr/>
        <w:tc>
          <w:tcPr>
            <w:tcW w:w="6840" w:type="dxa"/>
            <w:tcBorders/>
          </w:tcPr>
          <w:p>
            <w:pPr>
              <w:pStyle w:val="Normal"/>
              <w:rPr>
                <w:u w:val="single"/>
              </w:rPr>
            </w:pPr>
            <w:r>
              <w:rPr>
                <w:u w:val="single"/>
              </w:rPr>
              <w:t>Events</w:t>
            </w:r>
          </w:p>
        </w:tc>
        <w:tc>
          <w:tcPr>
            <w:tcW w:w="1710" w:type="dxa"/>
            <w:tcBorders/>
          </w:tcPr>
          <w:p>
            <w:pPr>
              <w:pStyle w:val="Normal"/>
              <w:jc w:val="end"/>
              <w:rPr>
                <w:u w:val="single"/>
              </w:rPr>
            </w:pPr>
            <w:r>
              <w:rPr>
                <w:u w:val="single"/>
              </w:rPr>
              <w:t>Date</w:t>
            </w:r>
          </w:p>
        </w:tc>
      </w:tr>
      <w:tr>
        <w:trPr/>
        <w:tc>
          <w:tcPr>
            <w:tcW w:w="6840" w:type="dxa"/>
            <w:tcBorders/>
          </w:tcPr>
          <w:p>
            <w:pPr>
              <w:pStyle w:val="Normal"/>
              <w:rPr/>
            </w:pPr>
            <w:r>
              <w:rPr/>
              <w:t>Signing the PSA with the Buyer</w:t>
            </w:r>
          </w:p>
        </w:tc>
        <w:tc>
          <w:tcPr>
            <w:tcW w:w="1710" w:type="dxa"/>
            <w:tcBorders/>
          </w:tcPr>
          <w:p>
            <w:pPr>
              <w:pStyle w:val="Normal"/>
              <w:jc w:val="end"/>
              <w:rPr/>
            </w:pPr>
            <w:r>
              <w:rPr/>
              <w:t>March 12, 2001</w:t>
            </w:r>
          </w:p>
        </w:tc>
      </w:tr>
      <w:tr>
        <w:trPr/>
        <w:tc>
          <w:tcPr>
            <w:tcW w:w="6840" w:type="dxa"/>
            <w:tcBorders/>
          </w:tcPr>
          <w:p>
            <w:pPr>
              <w:pStyle w:val="Normal"/>
              <w:rPr/>
            </w:pPr>
            <w:r>
              <w:rPr/>
              <w:t>Bid on the Kern contract</w:t>
            </w:r>
          </w:p>
        </w:tc>
        <w:tc>
          <w:tcPr>
            <w:tcW w:w="1710" w:type="dxa"/>
            <w:tcBorders/>
          </w:tcPr>
          <w:p>
            <w:pPr>
              <w:pStyle w:val="Normal"/>
              <w:jc w:val="end"/>
              <w:rPr/>
            </w:pPr>
            <w:r>
              <w:rPr/>
              <w:t>March 15, 2001</w:t>
            </w:r>
          </w:p>
        </w:tc>
      </w:tr>
      <w:tr>
        <w:trPr/>
        <w:tc>
          <w:tcPr>
            <w:tcW w:w="6840" w:type="dxa"/>
            <w:tcBorders/>
          </w:tcPr>
          <w:p>
            <w:pPr>
              <w:pStyle w:val="Normal"/>
              <w:rPr/>
            </w:pPr>
            <w:r>
              <w:rPr/>
              <w:t>Kern contract bid result announcement</w:t>
            </w:r>
          </w:p>
        </w:tc>
        <w:tc>
          <w:tcPr>
            <w:tcW w:w="1710" w:type="dxa"/>
            <w:tcBorders/>
          </w:tcPr>
          <w:p>
            <w:pPr>
              <w:pStyle w:val="Normal"/>
              <w:jc w:val="end"/>
              <w:rPr/>
            </w:pPr>
            <w:r>
              <w:rPr/>
              <w:t>March 22, 2001</w:t>
            </w:r>
          </w:p>
        </w:tc>
      </w:tr>
      <w:tr>
        <w:trPr/>
        <w:tc>
          <w:tcPr>
            <w:tcW w:w="6840" w:type="dxa"/>
            <w:tcBorders/>
          </w:tcPr>
          <w:p>
            <w:pPr>
              <w:pStyle w:val="Normal"/>
              <w:rPr/>
            </w:pPr>
            <w:r>
              <w:rPr/>
              <w:t>Finalize back-up water supply contract negotiation with the Authority</w:t>
            </w:r>
          </w:p>
        </w:tc>
        <w:tc>
          <w:tcPr>
            <w:tcW w:w="1710" w:type="dxa"/>
            <w:tcBorders/>
          </w:tcPr>
          <w:p>
            <w:pPr>
              <w:pStyle w:val="Normal"/>
              <w:jc w:val="end"/>
              <w:rPr/>
            </w:pPr>
            <w:r>
              <w:rPr/>
              <w:t>April 30, 2001</w:t>
            </w:r>
          </w:p>
        </w:tc>
      </w:tr>
      <w:tr>
        <w:trPr/>
        <w:tc>
          <w:tcPr>
            <w:tcW w:w="6840" w:type="dxa"/>
            <w:tcBorders/>
          </w:tcPr>
          <w:p>
            <w:pPr>
              <w:pStyle w:val="Normal"/>
              <w:rPr/>
            </w:pPr>
            <w:r>
              <w:rPr/>
              <w:t>Closing of the sale to the Buyer</w:t>
            </w:r>
          </w:p>
        </w:tc>
        <w:tc>
          <w:tcPr>
            <w:tcW w:w="1710" w:type="dxa"/>
            <w:tcBorders/>
          </w:tcPr>
          <w:p>
            <w:pPr>
              <w:pStyle w:val="Normal"/>
              <w:jc w:val="end"/>
              <w:rPr/>
            </w:pPr>
            <w:r>
              <w:rPr/>
              <w:t>April 30, 2001</w:t>
            </w:r>
          </w:p>
        </w:tc>
      </w:tr>
    </w:tbl>
    <w:p>
      <w:pPr>
        <w:pStyle w:val="Heading2"/>
        <w:widowControl/>
        <w:pBdr>
          <w:top w:val="single" w:sz="8" w:space="1" w:color="000000"/>
        </w:pBdr>
        <w:tabs>
          <w:tab w:val="clear" w:pos="720"/>
          <w:tab w:val="left" w:pos="360" w:leader="none"/>
        </w:tabs>
        <w:ind w:hanging="0" w:start="0" w:end="-36"/>
        <w:rPr/>
      </w:pPr>
      <w:r>
        <w:rPr/>
        <w:t xml:space="preserve">RISK MATRIX </w:t>
      </w:r>
    </w:p>
    <w:tbl>
      <w:tblPr>
        <w:tblW w:w="10368" w:type="dxa"/>
        <w:jc w:val="start"/>
        <w:tblInd w:w="0" w:type="dxa"/>
        <w:tblLayout w:type="fixed"/>
        <w:tblCellMar>
          <w:top w:w="0" w:type="dxa"/>
          <w:start w:w="108" w:type="dxa"/>
          <w:bottom w:w="0" w:type="dxa"/>
          <w:end w:w="108" w:type="dxa"/>
        </w:tblCellMar>
      </w:tblPr>
      <w:tblGrid>
        <w:gridCol w:w="5148"/>
        <w:gridCol w:w="5220"/>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RISK</w:t>
            </w:r>
          </w:p>
        </w:tc>
        <w:tc>
          <w:tcPr>
            <w:tcW w:w="5220" w:type="dxa"/>
            <w:tcBorders>
              <w:top w:val="single" w:sz="4" w:space="0" w:color="000000"/>
              <w:start w:val="single" w:sz="4" w:space="0" w:color="000000"/>
              <w:bottom w:val="single" w:sz="4" w:space="0" w:color="000000"/>
              <w:end w:val="single" w:sz="4" w:space="0" w:color="000000"/>
            </w:tcBorders>
          </w:tcPr>
          <w:p>
            <w:pPr>
              <w:pStyle w:val="Normal"/>
              <w:keepNext w:val="true"/>
              <w:jc w:val="center"/>
              <w:rPr>
                <w:b/>
                <w:bCs/>
              </w:rPr>
            </w:pPr>
            <w:r>
              <w:rPr>
                <w:b/>
                <w:bCs/>
              </w:rPr>
              <w:t>MITIGATION/COMMENTS</w:t>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Gas Transportation Contract Risk</w:t>
            </w:r>
          </w:p>
          <w:p>
            <w:pPr>
              <w:pStyle w:val="Normal"/>
              <w:numPr>
                <w:ilvl w:val="0"/>
                <w:numId w:val="6"/>
              </w:numPr>
              <w:rPr/>
            </w:pPr>
            <w:r>
              <w:rPr/>
              <w:t xml:space="preserve">Pastoria intends to submit a </w:t>
            </w:r>
            <w:r>
              <w:rPr>
                <w:b/>
                <w:bCs/>
              </w:rPr>
              <w:t>binding</w:t>
            </w:r>
            <w:r>
              <w:rPr/>
              <w:t xml:space="preserve"> bid on March 15, 2001, for a 15-year, 100,000 MMBtu/d gas transportation capacity contract with the Kern River Pipeline (“Kern”).  The contract will be backed up by an ENA or Enron guarantee.  The contract will be assignable but ENA will not be relieved of its obligations under the guarantee unless the assignee satisfies Kern’s creditworthiness requirements.  </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6"/>
              </w:numPr>
              <w:jc w:val="both"/>
              <w:rPr/>
            </w:pPr>
            <w:r>
              <w:rPr/>
              <w:t xml:space="preserve">ENA will mitigate its liability under the guarantee by requiring that the Buyer, as a condition precedent to closing, provide Kern with the credit support required by Kern to fully release ENA of its guarantee.  The required support would include a guarantee by an investment grade entity or a revolving letter of credit for three years of demand charges.  </w:t>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Water Supply</w:t>
            </w:r>
          </w:p>
          <w:p>
            <w:pPr>
              <w:pStyle w:val="Normal"/>
              <w:numPr>
                <w:ilvl w:val="0"/>
                <w:numId w:val="10"/>
              </w:numPr>
              <w:rPr/>
            </w:pPr>
            <w:r>
              <w:rPr/>
              <w:t xml:space="preserve">Entering into a back-up water supply agreement is a Buyer’s condition to closing.  The Project currently has a supply agreement for primary water and is in the process of finalizing the back-up supply agreement.  </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12"/>
              </w:numPr>
              <w:jc w:val="both"/>
              <w:rPr/>
            </w:pPr>
            <w:r>
              <w:rPr/>
              <w:t xml:space="preserve">ENA is currently finalizing a term sheet for the back-up water supply agreement with the Kern Water Bank Authority (the “Authority”) and have initiated the negotiation of the definitive supply agreement.  </w:t>
            </w:r>
          </w:p>
          <w:p>
            <w:pPr>
              <w:pStyle w:val="Normal"/>
              <w:numPr>
                <w:ilvl w:val="0"/>
                <w:numId w:val="10"/>
              </w:numPr>
              <w:jc w:val="both"/>
              <w:rPr>
                <w:b/>
                <w:bCs/>
              </w:rPr>
            </w:pPr>
            <w:r>
              <w:rPr/>
              <w:t xml:space="preserve">The agreement with the Authority, when completed, will be assigned to the Project at closing, at which point, ENA and Azurix intend to terminate a related existing agreement between Pastoria and Azurix in order to fully release Azurix from further performance obligations. </w:t>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Ongoing Liability of ENA</w:t>
            </w:r>
          </w:p>
          <w:p>
            <w:pPr>
              <w:pStyle w:val="Normal"/>
              <w:numPr>
                <w:ilvl w:val="0"/>
                <w:numId w:val="5"/>
              </w:numPr>
              <w:rPr/>
            </w:pPr>
            <w:r>
              <w:rPr/>
              <w:t xml:space="preserve">ENA will have ongoing liability under certain project agreements, such as the plant decommissioning costs, up to $10 million, and certain other obligations under the agreements with Tejon.  </w:t>
            </w:r>
          </w:p>
          <w:p>
            <w:pPr>
              <w:pStyle w:val="Normal"/>
              <w:numPr>
                <w:ilvl w:val="0"/>
                <w:numId w:val="5"/>
              </w:numPr>
              <w:rPr/>
            </w:pPr>
            <w:r>
              <w:rPr/>
              <w:t xml:space="preserve">ENA will have exposure under an indemnity for its reps and warranties in the PSA for 18 months, longer for certain customary exceptions such as title and tax, for up to the promote fee portion of the purchase price and up to the full purchase price (promote fee plus the development costs and turbine payments) for title reps. </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3"/>
              </w:numPr>
              <w:jc w:val="both"/>
              <w:rPr/>
            </w:pPr>
            <w:r>
              <w:rPr/>
              <w:t xml:space="preserve">ENA is negotiating for the Buyer to assume the decommissioning obligation, though the present value of the decommissioning cost is deemed immaterial, considering the plant’s 30-year useful life.  It is likely that value of equipment will exceed the cost of decommissioning the plant.  </w:t>
            </w:r>
          </w:p>
          <w:p>
            <w:pPr>
              <w:pStyle w:val="Normal"/>
              <w:numPr>
                <w:ilvl w:val="0"/>
                <w:numId w:val="3"/>
              </w:numPr>
              <w:jc w:val="both"/>
              <w:rPr/>
            </w:pPr>
            <w:r>
              <w:rPr/>
              <w:t xml:space="preserve">ENA will not have any liability for any environmental cleanup or decommissioning costs exceeding the $10 million cap.  </w:t>
            </w:r>
          </w:p>
          <w:p>
            <w:pPr>
              <w:pStyle w:val="Normal"/>
              <w:numPr>
                <w:ilvl w:val="0"/>
                <w:numId w:val="3"/>
              </w:numPr>
              <w:jc w:val="both"/>
              <w:rPr/>
            </w:pPr>
            <w:r>
              <w:rPr/>
              <w:t>Threat of claims has been mitigated by reps which, in the context of negotiations with other potential purchasers of Pastoria, are narrow in scope.</w:t>
            </w:r>
          </w:p>
          <w:p>
            <w:pPr>
              <w:pStyle w:val="Normal"/>
              <w:numPr>
                <w:ilvl w:val="0"/>
                <w:numId w:val="3"/>
              </w:numPr>
              <w:jc w:val="both"/>
              <w:rPr/>
            </w:pPr>
            <w:r>
              <w:rPr/>
              <w:t xml:space="preserve">All material ongoing obligations of ENA will be backstopped by a Calpine Corp. guarantee. </w:t>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Regulatory Risks</w:t>
            </w:r>
          </w:p>
          <w:p>
            <w:pPr>
              <w:pStyle w:val="Normal"/>
              <w:numPr>
                <w:ilvl w:val="0"/>
                <w:numId w:val="10"/>
              </w:numPr>
              <w:rPr/>
            </w:pPr>
            <w:r>
              <w:rPr/>
              <w:t>The current uncertainty in California’s regulatory climate may put additional pressure on ENA’s reps and warranties in the Agreement in the sense that changes in those reps which may arise due to changes after signing that are not regulatory in nature, and which might not otherwise be asserted by the Buyer as “material”, might be alleged by the Buyer to be material if, as a result of regulatory changes , the Buyer is looking for a reason not to close.</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11"/>
              </w:numPr>
              <w:jc w:val="both"/>
              <w:rPr/>
            </w:pPr>
            <w:r>
              <w:rPr/>
              <w:t xml:space="preserve">Except for a customary rep about “no litigation”, there are no specific reps in the PSA that can be affected by a regulatory change, nor is there a general “material adverse change” out in the PSA for regulatory or market conditions changes. </w:t>
            </w:r>
          </w:p>
        </w:tc>
      </w:tr>
      <w:tr>
        <w:trPr/>
        <w:tc>
          <w:tcPr>
            <w:tcW w:w="514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Possible Holdup by Project Landowner</w:t>
            </w:r>
          </w:p>
          <w:p>
            <w:pPr>
              <w:pStyle w:val="Normal"/>
              <w:numPr>
                <w:ilvl w:val="0"/>
                <w:numId w:val="8"/>
              </w:numPr>
              <w:rPr/>
            </w:pPr>
            <w:r>
              <w:rPr/>
              <w:t xml:space="preserve">The agreements with the Project landowner, Tejon Ranchcorp, allow for a sale without Tejon’s consent provided the Buyer is a “Qualified Developer” and its qualifications are documented for Tejon prior to closing. </w:t>
            </w:r>
          </w:p>
          <w:p>
            <w:pPr>
              <w:pStyle w:val="Normal"/>
              <w:numPr>
                <w:ilvl w:val="0"/>
                <w:numId w:val="8"/>
              </w:numPr>
              <w:rPr/>
            </w:pPr>
            <w:r>
              <w:rPr/>
              <w:t>The certificate that the Buyer will deliver to prove it is a “Qualified Developer” does not track the language in the Tejon agreements exactly; this creates a risk that Tejon might claim its consent to the sale is required.</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p>
            <w:pPr>
              <w:pStyle w:val="Normal"/>
              <w:numPr>
                <w:ilvl w:val="0"/>
                <w:numId w:val="2"/>
              </w:numPr>
              <w:jc w:val="both"/>
              <w:rPr/>
            </w:pPr>
            <w:r>
              <w:rPr/>
              <w:t>Despite the Buyer’s refusal to deliver a statement that tracks the language exactly, as a factual matter ENA believes the Buyer can be shown to be a “Qualified Developer”; therefore, the risk is primarily one of possible delay and/or the possibility that additional concessions to Tejon might be required to ensure Tejon’s timely cooperation.</w:t>
            </w:r>
          </w:p>
        </w:tc>
      </w:tr>
    </w:tbl>
    <w:p>
      <w:pPr>
        <w:pStyle w:val="Normal"/>
        <w:rPr/>
      </w:pPr>
      <w:r>
        <w:rPr/>
      </w:r>
    </w:p>
    <w:p>
      <w:pPr>
        <w:pStyle w:val="Header"/>
        <w:widowControl/>
        <w:tabs>
          <w:tab w:val="clear" w:pos="4320"/>
          <w:tab w:val="clear" w:pos="8640"/>
          <w:tab w:val="left" w:pos="360" w:leader="none"/>
        </w:tabs>
        <w:rPr/>
      </w:pPr>
      <w:r>
        <w:rPr/>
      </w:r>
      <w:r>
        <w:br w:type="page"/>
      </w:r>
    </w:p>
    <w:p>
      <w:pPr>
        <w:pStyle w:val="Normal"/>
        <w:numPr>
          <w:ilvl w:val="0"/>
          <w:numId w:val="0"/>
        </w:numPr>
        <w:pBdr>
          <w:top w:val="single" w:sz="8" w:space="1" w:color="000000"/>
        </w:pBdr>
        <w:tabs>
          <w:tab w:val="clear" w:pos="720"/>
          <w:tab w:val="left" w:pos="360" w:leader="none"/>
        </w:tabs>
        <w:outlineLvl w:val="0"/>
        <w:rPr>
          <w:b/>
          <w:bCs/>
        </w:rPr>
      </w:pPr>
      <w:r>
        <w:rPr>
          <w:b/>
          <w:bCs/>
        </w:rPr>
        <w:t xml:space="preserve">OTHER RAC COMMENTS: </w:t>
      </w:r>
    </w:p>
    <w:p>
      <w:pPr>
        <w:pStyle w:val="Normal"/>
        <w:numPr>
          <w:ilvl w:val="0"/>
          <w:numId w:val="4"/>
        </w:numPr>
        <w:ind w:hanging="360" w:start="360" w:end="-36"/>
        <w:jc w:val="both"/>
        <w:rPr/>
      </w:pPr>
      <w:r>
        <w:rPr/>
        <w:t>The sale to the Buyer will ultimately depend on ENA’s ability to secure both the gas transportation and the back-up water supply contracts.</w:t>
      </w:r>
    </w:p>
    <w:p>
      <w:pPr>
        <w:pStyle w:val="Normal"/>
        <w:numPr>
          <w:ilvl w:val="0"/>
          <w:numId w:val="4"/>
        </w:numPr>
        <w:ind w:hanging="360" w:start="360" w:end="-36"/>
        <w:jc w:val="both"/>
        <w:rPr/>
      </w:pPr>
      <w:r>
        <w:rPr/>
        <w:t xml:space="preserve">No other bidders are currently under consideration, should the sale to the Buyer not materialize. ENA will seek separate approval to proceed with further development of the Project should this sale not close. </w:t>
      </w:r>
    </w:p>
    <w:p>
      <w:pPr>
        <w:pStyle w:val="Header"/>
        <w:widowControl/>
        <w:tabs>
          <w:tab w:val="clear" w:pos="4320"/>
          <w:tab w:val="clear" w:pos="8640"/>
          <w:tab w:val="left" w:pos="360" w:leader="none"/>
        </w:tabs>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tabs>
                <w:tab w:val="clear" w:pos="720"/>
                <w:tab w:val="left" w:pos="360" w:leader="none"/>
              </w:tabs>
              <w:ind w:hanging="0" w:start="0"/>
              <w:rPr>
                <w:i/>
                <w:i/>
                <w:iCs/>
              </w:rPr>
            </w:pPr>
            <w:r>
              <w:rPr/>
              <w:t>APPROVALS</w:t>
            </w:r>
          </w:p>
        </w:tc>
        <w:tc>
          <w:tcPr>
            <w:tcW w:w="360" w:type="dxa"/>
            <w:tcBorders>
              <w:top w:val="single" w:sz="4" w:space="0" w:color="000000"/>
            </w:tcBorders>
            <w:vAlign w:val="bottom"/>
          </w:tcPr>
          <w:p>
            <w:pPr>
              <w:pStyle w:val="Normal"/>
              <w:keepNext w:val="true"/>
              <w:tabs>
                <w:tab w:val="clear" w:pos="720"/>
                <w:tab w:val="left" w:pos="360" w:leader="none"/>
              </w:tabs>
              <w:snapToGrid w:val="false"/>
              <w:rPr>
                <w:b/>
                <w:bCs/>
                <w:i/>
                <w:i/>
                <w:iCs/>
              </w:rPr>
            </w:pPr>
            <w:r>
              <w:rPr>
                <w:b/>
                <w:bCs/>
                <w:i/>
                <w:iCs/>
              </w:rPr>
            </w:r>
          </w:p>
        </w:tc>
        <w:tc>
          <w:tcPr>
            <w:tcW w:w="2932" w:type="dxa"/>
            <w:tcBorders>
              <w:top w:val="single" w:sz="4" w:space="0" w:color="000000"/>
            </w:tcBorders>
            <w:vAlign w:val="bottom"/>
          </w:tcPr>
          <w:p>
            <w:pPr>
              <w:pStyle w:val="Normal"/>
              <w:keepNext w:val="true"/>
              <w:tabs>
                <w:tab w:val="clear" w:pos="720"/>
                <w:tab w:val="left" w:pos="360" w:leader="none"/>
              </w:tabs>
              <w:jc w:val="center"/>
              <w:rPr>
                <w:b/>
                <w:bCs/>
              </w:rPr>
            </w:pPr>
            <w:r>
              <w:rPr>
                <w:b/>
                <w:bCs/>
              </w:rPr>
              <w:t>Name</w:t>
            </w:r>
          </w:p>
        </w:tc>
        <w:tc>
          <w:tcPr>
            <w:tcW w:w="354"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2924" w:type="dxa"/>
            <w:tcBorders>
              <w:top w:val="single" w:sz="4" w:space="0" w:color="000000"/>
            </w:tcBorders>
            <w:vAlign w:val="bottom"/>
          </w:tcPr>
          <w:p>
            <w:pPr>
              <w:pStyle w:val="Normal"/>
              <w:keepNext w:val="true"/>
              <w:tabs>
                <w:tab w:val="clear" w:pos="720"/>
                <w:tab w:val="left" w:pos="360" w:leader="none"/>
              </w:tabs>
              <w:jc w:val="center"/>
              <w:rPr>
                <w:b/>
                <w:bCs/>
              </w:rPr>
            </w:pPr>
            <w:r>
              <w:rPr>
                <w:b/>
                <w:bCs/>
              </w:rPr>
              <w:t>Signature</w:t>
            </w:r>
          </w:p>
        </w:tc>
        <w:tc>
          <w:tcPr>
            <w:tcW w:w="293" w:type="dxa"/>
            <w:tcBorders>
              <w:top w:val="single" w:sz="4" w:space="0" w:color="000000"/>
            </w:tcBorders>
            <w:vAlign w:val="bottom"/>
          </w:tcPr>
          <w:p>
            <w:pPr>
              <w:pStyle w:val="Normal"/>
              <w:keepNext w:val="true"/>
              <w:tabs>
                <w:tab w:val="clear" w:pos="720"/>
                <w:tab w:val="left" w:pos="360" w:leader="none"/>
              </w:tabs>
              <w:snapToGrid w:val="false"/>
              <w:jc w:val="center"/>
              <w:rPr>
                <w:b/>
                <w:bCs/>
              </w:rPr>
            </w:pPr>
            <w:r>
              <w:rPr>
                <w:b/>
                <w:bCs/>
              </w:rPr>
            </w:r>
          </w:p>
        </w:tc>
        <w:tc>
          <w:tcPr>
            <w:tcW w:w="1057" w:type="dxa"/>
            <w:tcBorders>
              <w:top w:val="single" w:sz="4" w:space="0" w:color="000000"/>
            </w:tcBorders>
            <w:vAlign w:val="bottom"/>
          </w:tcPr>
          <w:p>
            <w:pPr>
              <w:pStyle w:val="Normal"/>
              <w:keepNext w:val="true"/>
              <w:tabs>
                <w:tab w:val="clear" w:pos="720"/>
                <w:tab w:val="left" w:pos="360" w:leader="none"/>
              </w:tabs>
              <w:jc w:val="center"/>
              <w:rPr>
                <w:b/>
                <w:bCs/>
              </w:rPr>
            </w:pPr>
            <w:r>
              <w:rPr>
                <w:b/>
                <w:bCs/>
              </w:rPr>
              <w:t>Date</w:t>
            </w:r>
          </w:p>
        </w:tc>
      </w:tr>
      <w:tr>
        <w:trPr>
          <w:trHeight w:val="360" w:hRule="atLeast"/>
        </w:trPr>
        <w:tc>
          <w:tcPr>
            <w:tcW w:w="2448" w:type="dxa"/>
            <w:tcBorders/>
          </w:tcPr>
          <w:p>
            <w:pPr>
              <w:pStyle w:val="Normal"/>
              <w:tabs>
                <w:tab w:val="clear" w:pos="720"/>
                <w:tab w:val="left" w:pos="360" w:leader="none"/>
              </w:tabs>
              <w:spacing w:before="120" w:after="0"/>
              <w:rPr/>
            </w:pPr>
            <w:r>
              <w:rPr/>
              <w:t>West Origination</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David Parquet</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297" w:hRule="atLeast"/>
        </w:trPr>
        <w:tc>
          <w:tcPr>
            <w:tcW w:w="2448" w:type="dxa"/>
            <w:tcBorders/>
          </w:tcPr>
          <w:p>
            <w:pPr>
              <w:pStyle w:val="Normal"/>
              <w:tabs>
                <w:tab w:val="clear" w:pos="720"/>
                <w:tab w:val="left" w:pos="360" w:leader="none"/>
              </w:tabs>
              <w:spacing w:before="120" w:after="0"/>
              <w:rPr/>
            </w:pPr>
            <w:r>
              <w:rPr/>
              <w:t>West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Chris Calger</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Legal</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 xml:space="preserve">Mark Haedicke </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Accounting</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Wes Colwell</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Tech Services</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Brian Redmond</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Americas Executive</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John Lavorato/Louise Kitchen</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EWS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Mark Frevert/Greg Whalley</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354" w:hRule="atLeast"/>
        </w:trPr>
        <w:tc>
          <w:tcPr>
            <w:tcW w:w="2448" w:type="dxa"/>
            <w:tcBorders/>
          </w:tcPr>
          <w:p>
            <w:pPr>
              <w:pStyle w:val="Normal"/>
              <w:tabs>
                <w:tab w:val="clear" w:pos="720"/>
                <w:tab w:val="left" w:pos="360" w:leader="none"/>
              </w:tabs>
              <w:spacing w:before="120" w:after="0"/>
              <w:rPr/>
            </w:pPr>
            <w:r>
              <w:rPr/>
              <w:t>RAC Management</w:t>
            </w:r>
          </w:p>
        </w:tc>
        <w:tc>
          <w:tcPr>
            <w:tcW w:w="360" w:type="dxa"/>
            <w:tcBorders/>
          </w:tcPr>
          <w:p>
            <w:pPr>
              <w:pStyle w:val="Normal"/>
              <w:tabs>
                <w:tab w:val="clear" w:pos="720"/>
                <w:tab w:val="left" w:pos="360" w:leader="none"/>
              </w:tabs>
              <w:snapToGrid w:val="false"/>
              <w:spacing w:before="120" w:after="0"/>
              <w:rPr/>
            </w:pPr>
            <w:r>
              <w:rPr/>
            </w:r>
          </w:p>
        </w:tc>
        <w:tc>
          <w:tcPr>
            <w:tcW w:w="2932" w:type="dxa"/>
            <w:tcBorders>
              <w:bottom w:val="single" w:sz="6" w:space="0" w:color="000000"/>
            </w:tcBorders>
          </w:tcPr>
          <w:p>
            <w:pPr>
              <w:pStyle w:val="Normal"/>
              <w:tabs>
                <w:tab w:val="clear" w:pos="720"/>
                <w:tab w:val="left" w:pos="360" w:leader="none"/>
              </w:tabs>
              <w:spacing w:before="120" w:after="0"/>
              <w:rPr/>
            </w:pPr>
            <w:r>
              <w:rPr/>
              <w:t>Rick Buy / Dave Gorte</w:t>
            </w:r>
          </w:p>
        </w:tc>
        <w:tc>
          <w:tcPr>
            <w:tcW w:w="354" w:type="dxa"/>
            <w:tcBorders/>
          </w:tcPr>
          <w:p>
            <w:pPr>
              <w:pStyle w:val="Normal"/>
              <w:tabs>
                <w:tab w:val="clear" w:pos="720"/>
                <w:tab w:val="left" w:pos="360" w:leader="none"/>
              </w:tabs>
              <w:snapToGrid w:val="false"/>
              <w:spacing w:before="120" w:after="0"/>
              <w:rPr/>
            </w:pPr>
            <w:r>
              <w:rPr/>
            </w:r>
          </w:p>
        </w:tc>
        <w:tc>
          <w:tcPr>
            <w:tcW w:w="2924" w:type="dxa"/>
            <w:tcBorders>
              <w:bottom w:val="single" w:sz="6"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bottom w:val="single" w:sz="6"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Global Finance</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Andy Fastow / Ben Glisan</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r>
        <w:trPr>
          <w:trHeight w:val="93" w:hRule="atLeast"/>
        </w:trPr>
        <w:tc>
          <w:tcPr>
            <w:tcW w:w="2448" w:type="dxa"/>
            <w:tcBorders/>
          </w:tcPr>
          <w:p>
            <w:pPr>
              <w:pStyle w:val="Normal"/>
              <w:tabs>
                <w:tab w:val="clear" w:pos="720"/>
                <w:tab w:val="left" w:pos="360" w:leader="none"/>
              </w:tabs>
              <w:spacing w:before="120" w:after="0"/>
              <w:rPr/>
            </w:pPr>
            <w:r>
              <w:rPr/>
              <w:t>ENE OOC</w:t>
            </w:r>
          </w:p>
        </w:tc>
        <w:tc>
          <w:tcPr>
            <w:tcW w:w="360" w:type="dxa"/>
            <w:tcBorders/>
          </w:tcPr>
          <w:p>
            <w:pPr>
              <w:pStyle w:val="Normal"/>
              <w:tabs>
                <w:tab w:val="clear" w:pos="720"/>
                <w:tab w:val="left" w:pos="360" w:leader="none"/>
              </w:tabs>
              <w:snapToGrid w:val="false"/>
              <w:spacing w:before="120" w:after="0"/>
              <w:rPr/>
            </w:pPr>
            <w:r>
              <w:rPr/>
            </w:r>
          </w:p>
        </w:tc>
        <w:tc>
          <w:tcPr>
            <w:tcW w:w="2932" w:type="dxa"/>
            <w:tcBorders>
              <w:top w:val="single" w:sz="4" w:space="0" w:color="000000"/>
              <w:bottom w:val="single" w:sz="4" w:space="0" w:color="000000"/>
            </w:tcBorders>
          </w:tcPr>
          <w:p>
            <w:pPr>
              <w:pStyle w:val="Header"/>
              <w:widowControl/>
              <w:tabs>
                <w:tab w:val="clear" w:pos="4320"/>
                <w:tab w:val="clear" w:pos="8640"/>
                <w:tab w:val="left" w:pos="360" w:leader="none"/>
              </w:tabs>
              <w:spacing w:before="120" w:after="0"/>
              <w:rPr/>
            </w:pPr>
            <w:r>
              <w:rPr/>
              <w:t>Jeff Skilling</w:t>
            </w:r>
          </w:p>
        </w:tc>
        <w:tc>
          <w:tcPr>
            <w:tcW w:w="354" w:type="dxa"/>
            <w:tcBorders/>
          </w:tcPr>
          <w:p>
            <w:pPr>
              <w:pStyle w:val="Normal"/>
              <w:tabs>
                <w:tab w:val="clear" w:pos="720"/>
                <w:tab w:val="left" w:pos="360" w:leader="none"/>
              </w:tabs>
              <w:snapToGrid w:val="false"/>
              <w:spacing w:before="120" w:after="0"/>
              <w:rPr/>
            </w:pPr>
            <w:r>
              <w:rPr/>
            </w:r>
          </w:p>
        </w:tc>
        <w:tc>
          <w:tcPr>
            <w:tcW w:w="2924" w:type="dxa"/>
            <w:tcBorders>
              <w:top w:val="single" w:sz="4" w:space="0" w:color="000000"/>
              <w:bottom w:val="single" w:sz="4" w:space="0" w:color="000000"/>
            </w:tcBorders>
          </w:tcPr>
          <w:p>
            <w:pPr>
              <w:pStyle w:val="Normal"/>
              <w:tabs>
                <w:tab w:val="clear" w:pos="720"/>
                <w:tab w:val="left" w:pos="360" w:leader="none"/>
              </w:tabs>
              <w:snapToGrid w:val="false"/>
              <w:spacing w:before="120" w:after="0"/>
              <w:rPr/>
            </w:pPr>
            <w:r>
              <w:rPr/>
            </w:r>
          </w:p>
        </w:tc>
        <w:tc>
          <w:tcPr>
            <w:tcW w:w="293" w:type="dxa"/>
            <w:tcBorders/>
          </w:tcPr>
          <w:p>
            <w:pPr>
              <w:pStyle w:val="Normal"/>
              <w:tabs>
                <w:tab w:val="clear" w:pos="720"/>
                <w:tab w:val="left" w:pos="360" w:leader="none"/>
              </w:tabs>
              <w:snapToGrid w:val="false"/>
              <w:spacing w:before="120" w:after="0"/>
              <w:rPr/>
            </w:pPr>
            <w:r>
              <w:rPr/>
            </w:r>
          </w:p>
        </w:tc>
        <w:tc>
          <w:tcPr>
            <w:tcW w:w="1057" w:type="dxa"/>
            <w:tcBorders>
              <w:top w:val="single" w:sz="6" w:space="0" w:color="000000"/>
              <w:bottom w:val="single" w:sz="4" w:space="0" w:color="000000"/>
            </w:tcBorders>
          </w:tcPr>
          <w:p>
            <w:pPr>
              <w:pStyle w:val="Normal"/>
              <w:tabs>
                <w:tab w:val="clear" w:pos="720"/>
                <w:tab w:val="left" w:pos="360" w:leader="none"/>
              </w:tabs>
              <w:snapToGrid w:val="false"/>
              <w:spacing w:before="120" w:after="0"/>
              <w:rPr/>
            </w:pPr>
            <w:r>
              <w:rPr/>
            </w:r>
          </w:p>
        </w:tc>
      </w:tr>
    </w:tbl>
    <w:p>
      <w:pPr>
        <w:pStyle w:val="Normal"/>
        <w:numPr>
          <w:ilvl w:val="0"/>
          <w:numId w:val="0"/>
        </w:numPr>
        <w:tabs>
          <w:tab w:val="clear" w:pos="720"/>
          <w:tab w:val="left" w:pos="360" w:leader="none"/>
        </w:tabs>
        <w:outlineLvl w:val="0"/>
        <w:rPr>
          <w:b/>
          <w:bCs/>
          <w:sz w:val="28"/>
          <w:szCs w:val="28"/>
          <w:u w:val="single"/>
        </w:rPr>
      </w:pPr>
      <w:r>
        <w:rPr>
          <w:b/>
          <w:bCs/>
          <w:sz w:val="28"/>
          <w:szCs w:val="28"/>
          <w:u w:val="single"/>
        </w:rPr>
      </w:r>
    </w:p>
    <w:p>
      <w:pPr>
        <w:pStyle w:val="Normal"/>
        <w:jc w:val="both"/>
        <w:rPr>
          <w:b/>
          <w:bCs/>
          <w:sz w:val="28"/>
          <w:szCs w:val="28"/>
          <w:u w:val="single"/>
        </w:rPr>
      </w:pPr>
      <w:r>
        <w:rPr>
          <w:b/>
          <w:bCs/>
          <w:sz w:val="28"/>
          <w:szCs w:val="28"/>
          <w:u w:val="single"/>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ab/>
    </w:r>
    <w:r>
      <w:rPr>
        <w:rFonts w:cs="Arial" w:ascii="Arial" w:hAnsi="Arial"/>
        <w:sz w:val="16"/>
        <w:szCs w:val="16"/>
      </w:rPr>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rFonts w:cs="Arial"/>
        <w:bCs/>
        <w:sz w:val="16"/>
      </w:rPr>
    </w:pPr>
    <w:r>
      <w:rPr>
        <w:rFonts w:cs="Arial"/>
        <w:bCs/>
        <w:sz w:val="16"/>
      </w:rPr>
      <w:t>RAC Deal Approval Sheet</w:t>
      <w:tab/>
      <w:t xml:space="preserve">                                                                                                                                                                        Pastoria IV - Divestiture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widowControl w:val="false"/>
      <w:numPr>
        <w:ilvl w:val="1"/>
        <w:numId w:val="1"/>
      </w:numPr>
      <w:outlineLvl w:val="1"/>
    </w:pPr>
    <w:rPr>
      <w:b/>
      <w:bCs/>
      <w:i/>
      <w:iCs/>
    </w:rPr>
  </w:style>
  <w:style w:type="paragraph" w:styleId="Heading3">
    <w:name w:val="heading 3"/>
    <w:basedOn w:val="Normal"/>
    <w:next w:val="Normal"/>
    <w:qFormat/>
    <w:pPr>
      <w:keepNext w:val="true"/>
      <w:widowControl w:val="false"/>
      <w:numPr>
        <w:ilvl w:val="2"/>
        <w:numId w:val="1"/>
      </w:numPr>
      <w:ind w:hanging="0" w:start="0" w:end="-1196"/>
      <w:outlineLvl w:val="2"/>
    </w:pPr>
    <w:rPr>
      <w:b/>
      <w:bCs/>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bCs/>
    </w:rPr>
  </w:style>
  <w:style w:type="paragraph" w:styleId="Heading5">
    <w:name w:val="heading 5"/>
    <w:basedOn w:val="Normal"/>
    <w:next w:val="Normal"/>
    <w:qFormat/>
    <w:pPr>
      <w:keepNext w:val="true"/>
      <w:numPr>
        <w:ilvl w:val="4"/>
        <w:numId w:val="1"/>
      </w:numPr>
      <w:jc w:val="end"/>
      <w:outlineLvl w:val="4"/>
    </w:pPr>
    <w:rPr>
      <w:b/>
      <w:bCs/>
    </w:rPr>
  </w:style>
  <w:style w:type="paragraph" w:styleId="Heading6">
    <w:name w:val="heading 6"/>
    <w:basedOn w:val="Normal"/>
    <w:next w:val="Normal"/>
    <w:qFormat/>
    <w:pPr>
      <w:keepNext w:val="true"/>
      <w:numPr>
        <w:ilvl w:val="5"/>
        <w:numId w:val="1"/>
      </w:numPr>
      <w:tabs>
        <w:tab w:val="clear" w:pos="720"/>
        <w:tab w:val="left" w:pos="360" w:leader="none"/>
      </w:tabs>
      <w:jc w:val="center"/>
      <w:outlineLvl w:val="5"/>
    </w:pPr>
    <w:rPr>
      <w:rFonts w:ascii="Arial" w:hAnsi="Arial" w:cs="Arial"/>
      <w:b/>
      <w:bCs/>
      <w:sz w:val="32"/>
      <w:szCs w:val="32"/>
    </w:rPr>
  </w:style>
  <w:style w:type="paragraph" w:styleId="Heading7">
    <w:name w:val="heading 7"/>
    <w:basedOn w:val="Normal"/>
    <w:next w:val="Normal"/>
    <w:qFormat/>
    <w:pPr>
      <w:keepNext w:val="true"/>
      <w:widowControl w:val="false"/>
      <w:numPr>
        <w:ilvl w:val="6"/>
        <w:numId w:val="1"/>
      </w:numPr>
      <w:outlineLvl w:val="6"/>
    </w:pPr>
    <w:rPr>
      <w:b/>
      <w:bCs/>
      <w:i/>
      <w:iCs/>
    </w:rPr>
  </w:style>
  <w:style w:type="paragraph" w:styleId="Heading8">
    <w:name w:val="heading 8"/>
    <w:basedOn w:val="Normal"/>
    <w:next w:val="Normal"/>
    <w:qFormat/>
    <w:pPr>
      <w:keepNext w:val="true"/>
      <w:numPr>
        <w:ilvl w:val="7"/>
        <w:numId w:val="1"/>
      </w:numPr>
      <w:jc w:val="both"/>
      <w:outlineLvl w:val="7"/>
    </w:pPr>
    <w:rPr>
      <w:rFonts w:ascii="Arial" w:hAnsi="Arial" w:cs="Arial"/>
      <w:b/>
      <w:bCs/>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bCs/>
    </w:rPr>
  </w:style>
  <w:style w:type="character" w:styleId="WW8Num1z0">
    <w:name w:val="WW8Num1z0"/>
    <w:qFormat/>
    <w:rPr>
      <w:rFonts w:ascii="Symbol" w:hAnsi="Symbol" w:cs="Times New Roman"/>
    </w:rPr>
  </w:style>
  <w:style w:type="character" w:styleId="WW8Num2z0">
    <w:name w:val="WW8Num2z0"/>
    <w:qFormat/>
    <w:rPr>
      <w:rFonts w:ascii="Symbol" w:hAnsi="Symbol"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Times New Roman"/>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val="false"/>
      <w:i w:val="false"/>
    </w:rPr>
  </w:style>
  <w:style w:type="character" w:styleId="WW8Num9z0">
    <w:name w:val="WW8Num9z0"/>
    <w:qFormat/>
    <w:rPr>
      <w:rFonts w:ascii="Symbol" w:hAnsi="Symbol" w:cs="Times New Roman"/>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Times New Roman"/>
    </w:rPr>
  </w:style>
  <w:style w:type="character" w:styleId="WW8Num10z3">
    <w:name w:val="WW8Num10z3"/>
    <w:qFormat/>
    <w:rPr>
      <w:rFonts w:ascii="Symbol" w:hAnsi="Symbol" w:cs="Times New Roman"/>
    </w:rPr>
  </w:style>
  <w:style w:type="character" w:styleId="WW8Num11z0">
    <w:name w:val="WW8Num11z0"/>
    <w:qFormat/>
    <w:rPr>
      <w:rFonts w:ascii="Symbol" w:hAnsi="Symbol" w:cs="Times New Roman"/>
    </w:rPr>
  </w:style>
  <w:style w:type="character" w:styleId="WW8Num12z0">
    <w:name w:val="WW8Num12z0"/>
    <w:qFormat/>
    <w:rPr>
      <w:rFonts w:ascii="Symbol" w:hAnsi="Symbol" w:cs="Times New Roman"/>
    </w:rPr>
  </w:style>
  <w:style w:type="character" w:styleId="WW8Num13z0">
    <w:name w:val="WW8Num13z0"/>
    <w:qFormat/>
    <w:rPr>
      <w:b w:val="false"/>
      <w:i w:val="false"/>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Times New Roman"/>
    </w:rPr>
  </w:style>
  <w:style w:type="character" w:styleId="WW8Num14z3">
    <w:name w:val="WW8Num14z3"/>
    <w:qFormat/>
    <w:rPr>
      <w:rFonts w:ascii="Symbol" w:hAnsi="Symbol" w:cs="Times New Roman"/>
    </w:rPr>
  </w:style>
  <w:style w:type="character" w:styleId="WW8Num15z0">
    <w:name w:val="WW8Num15z0"/>
    <w:qFormat/>
    <w:rPr>
      <w:rFonts w:ascii="Symbol" w:hAnsi="Symbol" w:cs="Times New Roman"/>
    </w:rPr>
  </w:style>
  <w:style w:type="character" w:styleId="WW8Num16z0">
    <w:name w:val="WW8Num16z0"/>
    <w:qFormat/>
    <w:rPr/>
  </w:style>
  <w:style w:type="character" w:styleId="WW8Num17z0">
    <w:name w:val="WW8Num17z0"/>
    <w:qFormat/>
    <w:rPr>
      <w:rFonts w:ascii="Symbol" w:hAnsi="Symbol" w:cs="Times New Roman"/>
    </w:rPr>
  </w:style>
  <w:style w:type="character" w:styleId="WW8Num18z0">
    <w:name w:val="WW8Num18z0"/>
    <w:qFormat/>
    <w:rPr>
      <w:rFonts w:ascii="Symbol" w:hAnsi="Symbol"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Times New Roman"/>
    </w:rPr>
  </w:style>
  <w:style w:type="character" w:styleId="WW8Num19z0">
    <w:name w:val="WW8Num19z0"/>
    <w:qFormat/>
    <w:rPr>
      <w:rFonts w:ascii="Symbol" w:hAnsi="Symbol" w:cs="Times New Roman"/>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Times New Roman"/>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2">
    <w:name w:val="WW8Num24z2"/>
    <w:qFormat/>
    <w:rPr>
      <w:rFonts w:ascii="Wingdings" w:hAnsi="Wingdings" w:cs="Wingdings"/>
    </w:rPr>
  </w:style>
  <w:style w:type="character" w:styleId="WW8Num24z4">
    <w:name w:val="WW8Num24z4"/>
    <w:qFormat/>
    <w:rPr>
      <w:rFonts w:ascii="Courier New" w:hAnsi="Courier New" w:cs="Courier New"/>
    </w:rPr>
  </w:style>
  <w:style w:type="character" w:styleId="WW8Num28z0">
    <w:name w:val="WW8Num28z0"/>
    <w:qFormat/>
    <w:rPr>
      <w:rFonts w:ascii="Symbol" w:hAnsi="Symbol" w:cs="Symbol"/>
    </w:rPr>
  </w:style>
  <w:style w:type="character" w:styleId="WW8Num29z0">
    <w:name w:val="WW8Num29z0"/>
    <w:qFormat/>
    <w:rPr>
      <w:rFonts w:ascii="Symbol" w:hAnsi="Symbol"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Times New Roman"/>
    </w:rPr>
  </w:style>
  <w:style w:type="character" w:styleId="WW8Num32z0">
    <w:name w:val="WW8Num32z0"/>
    <w:qFormat/>
    <w:rPr>
      <w:rFonts w:ascii="Symbol" w:hAnsi="Symbol" w:cs="Times New Roman"/>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Times New Roman"/>
    </w:rPr>
  </w:style>
  <w:style w:type="character" w:styleId="WW8Num37z0">
    <w:name w:val="WW8Num37z0"/>
    <w:qFormat/>
    <w:rPr>
      <w:rFonts w:ascii="Symbol" w:hAnsi="Symbol"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Times New Roman"/>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Times New Roman"/>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tabs>
        <w:tab w:val="clear" w:pos="720"/>
        <w:tab w:val="left" w:pos="360" w:leader="none"/>
      </w:tabs>
      <w:jc w:val="center"/>
      <w:outlineLvl w:val="0"/>
    </w:pPr>
    <w:rPr>
      <w:rFonts w:ascii="Arial" w:hAnsi="Arial" w:cs="Arial"/>
      <w:b/>
      <w:bCs/>
      <w:sz w:val="32"/>
      <w:szCs w:val="3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BodyText3">
    <w:name w:val="Body Text 3"/>
    <w:basedOn w:val="Normal"/>
    <w:qFormat/>
    <w:pPr>
      <w:widowControl w:val="false"/>
    </w:pPr>
    <w:rPr>
      <w:color w:val="FF0000"/>
    </w:rPr>
  </w:style>
  <w:style w:type="paragraph" w:styleId="Footer">
    <w:name w:val="footer"/>
    <w:basedOn w:val="Normal"/>
    <w:pPr>
      <w:widowControl w:val="false"/>
      <w:tabs>
        <w:tab w:val="clear" w:pos="720"/>
        <w:tab w:val="center" w:pos="4320" w:leader="none"/>
        <w:tab w:val="right" w:pos="8640" w:leader="none"/>
      </w:tabs>
    </w:pPr>
    <w:rPr/>
  </w:style>
  <w:style w:type="paragraph" w:styleId="BodyTextIndent">
    <w:name w:val="Body Text Indent"/>
    <w:basedOn w:val="Normal"/>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51" w:end="0"/>
    </w:pPr>
    <w:rPr>
      <w:rFonts w:ascii="Arial" w:hAnsi="Arial" w:cs="Arial"/>
    </w:rPr>
  </w:style>
  <w:style w:type="paragraph" w:styleId="BodyText2">
    <w:name w:val="Body Text 2"/>
    <w:basedOn w:val="Normal"/>
    <w:qFormat/>
    <w:pPr>
      <w:ind w:hanging="0" w:start="0" w:end="-36"/>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2001-03-07T19:36:00Z</dcterms:created>
  <dc:creator>mruane</dc:creator>
  <dc:description/>
  <dc:language>en-CA</dc:language>
  <cp:lastModifiedBy>kbarbou</cp:lastModifiedBy>
  <cp:lastPrinted>2001-03-07T07:51:00Z</cp:lastPrinted>
  <dcterms:modified xsi:type="dcterms:W3CDTF">2001-03-08T01:26:00Z</dcterms:modified>
  <cp:revision>12</cp:revision>
  <dc:subject/>
  <dc:title>ENRON RISK ASSESSMENT AND CONTROL</dc:title>
</cp:coreProperties>
</file>