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ENRON RISK ASSESSMENT AND CONTROL</w:t>
      </w:r>
    </w:p>
    <w:p>
      <w:pPr>
        <w:pStyle w:val="Normal"/>
        <w:jc w:val="center"/>
        <w:rPr>
          <w:b/>
          <w:sz w:val="32"/>
        </w:rPr>
      </w:pPr>
      <w:r>
        <w:rPr>
          <w:b/>
          <w:sz w:val="32"/>
        </w:rPr>
        <w:t>DEAL APPROVAL SHEET</w:t>
      </w:r>
    </w:p>
    <w:p>
      <w:pPr>
        <w:pStyle w:val="Normal"/>
        <w:rPr>
          <w:b/>
          <w:sz w:val="32"/>
        </w:rPr>
      </w:pPr>
      <w:r>
        <w:rPr>
          <w:b/>
          <w:sz w:val="32"/>
        </w:rPr>
      </w:r>
    </w:p>
    <w:tbl>
      <w:tblPr>
        <w:tblW w:w="10440" w:type="dxa"/>
        <w:jc w:val="start"/>
        <w:tblInd w:w="18" w:type="dxa"/>
        <w:tblLayout w:type="fixed"/>
        <w:tblCellMar>
          <w:top w:w="0" w:type="dxa"/>
          <w:start w:w="108" w:type="dxa"/>
          <w:bottom w:w="0" w:type="dxa"/>
          <w:end w:w="108" w:type="dxa"/>
        </w:tblCellMar>
      </w:tblPr>
      <w:tblGrid>
        <w:gridCol w:w="5490"/>
        <w:gridCol w:w="4950"/>
      </w:tblGrid>
      <w:tr>
        <w:trPr>
          <w:trHeight w:val="1656" w:hRule="atLeast"/>
        </w:trPr>
        <w:tc>
          <w:tcPr>
            <w:tcW w:w="5490" w:type="dxa"/>
            <w:tcBorders>
              <w:top w:val="single" w:sz="8" w:space="0" w:color="000000"/>
              <w:bottom w:val="single" w:sz="8" w:space="0" w:color="000000"/>
            </w:tcBorders>
          </w:tcPr>
          <w:p>
            <w:pPr>
              <w:pStyle w:val="Normal"/>
              <w:ind w:end="792"/>
              <w:rPr>
                <w:b/>
              </w:rPr>
            </w:pPr>
            <w:r>
              <w:rPr>
                <w:b/>
              </w:rPr>
              <w:t>DEAL NAME:  Wolf Hollow 2</w:t>
            </w:r>
          </w:p>
          <w:p>
            <w:pPr>
              <w:pStyle w:val="Normal"/>
              <w:ind w:end="792"/>
              <w:rPr/>
            </w:pPr>
            <w:r>
              <w:rPr/>
              <w:t>Counterparty:  Parsons Energy &amp; Chemicals Group Inc. (“Parsons”)</w:t>
            </w:r>
          </w:p>
          <w:p>
            <w:pPr>
              <w:pStyle w:val="Normal"/>
              <w:rPr/>
            </w:pPr>
            <w:r>
              <w:rPr/>
              <w:t>Business Unit:  NEPCO</w:t>
            </w:r>
          </w:p>
          <w:p>
            <w:pPr>
              <w:pStyle w:val="Normal"/>
              <w:rPr/>
            </w:pPr>
            <w:r>
              <w:rPr/>
              <w:t>Business Unit Originator:  Keith Dodson</w:t>
            </w:r>
          </w:p>
          <w:p>
            <w:pPr>
              <w:pStyle w:val="Normal"/>
              <w:tabs>
                <w:tab w:val="clear" w:pos="720"/>
                <w:tab w:val="left" w:pos="1530" w:leader="none"/>
              </w:tabs>
              <w:rPr/>
            </w:pPr>
            <w:r>
              <w:rPr>
                <w:rFonts w:cs="Wingdings" w:ascii="Wingdings" w:hAnsi="Wingdings"/>
              </w:rPr>
              <w:sym w:font="Wingdings" w:char="f070"/>
            </w:r>
            <w:r>
              <w:rPr/>
              <w:t>Public</w:t>
              <w:tab/>
            </w:r>
            <w:r>
              <w:rPr>
                <w:rFonts w:eastAsia="Wingdings" w:cs="Wingdings" w:ascii="Wingdings" w:hAnsi="Wingdings"/>
              </w:rPr>
              <w:sym w:font="Wingdings" w:char="f078"/>
            </w:r>
            <w:r>
              <w:rPr/>
              <w:t>Private</w:t>
            </w:r>
          </w:p>
          <w:p>
            <w:pPr>
              <w:pStyle w:val="Normal"/>
              <w:tabs>
                <w:tab w:val="clear" w:pos="720"/>
                <w:tab w:val="left" w:pos="1530" w:leader="none"/>
              </w:tabs>
              <w:ind w:end="-738"/>
              <w:rPr/>
            </w:pPr>
            <w:r>
              <w:rPr>
                <w:rFonts w:cs="Wingdings" w:ascii="Wingdings" w:hAnsi="Wingdings"/>
              </w:rPr>
              <w:sym w:font="Wingdings" w:char="f070"/>
            </w:r>
            <w:r>
              <w:rPr/>
              <w:t>Merchant</w:t>
              <w:tab/>
            </w:r>
            <w:r>
              <w:rPr>
                <w:rFonts w:cs="Wingdings" w:ascii="Wingdings" w:hAnsi="Wingdings"/>
              </w:rPr>
              <w:sym w:font="Wingdings" w:char="f078"/>
            </w:r>
            <w:r>
              <w:rPr/>
              <w:t>Strategic</w:t>
            </w:r>
          </w:p>
          <w:p>
            <w:pPr>
              <w:pStyle w:val="Header"/>
              <w:tabs>
                <w:tab w:val="left" w:pos="1530" w:leader="none"/>
                <w:tab w:val="center" w:pos="4320" w:leader="none"/>
                <w:tab w:val="right" w:pos="8640" w:leader="none"/>
              </w:tabs>
              <w:rPr/>
            </w:pPr>
            <w:r>
              <w:rPr>
                <w:rFonts w:cs="Wingdings" w:ascii="Wingdings" w:hAnsi="Wingdings"/>
              </w:rPr>
              <w:sym w:font="Wingdings" w:char="f078"/>
            </w:r>
            <w:r>
              <w:rPr/>
              <w:t>Conforming</w:t>
              <w:tab/>
            </w:r>
            <w:r>
              <w:rPr>
                <w:rFonts w:cs="Wingdings" w:ascii="Wingdings" w:hAnsi="Wingdings"/>
              </w:rPr>
              <w:sym w:font="Wingdings" w:char="f070"/>
            </w:r>
            <w:r>
              <w:rPr/>
              <w:t>Nonconforming</w:t>
            </w:r>
          </w:p>
        </w:tc>
        <w:tc>
          <w:tcPr>
            <w:tcW w:w="4950" w:type="dxa"/>
            <w:tcBorders>
              <w:top w:val="single" w:sz="8" w:space="0" w:color="000000"/>
              <w:bottom w:val="single" w:sz="8" w:space="0" w:color="000000"/>
            </w:tcBorders>
          </w:tcPr>
          <w:p>
            <w:pPr>
              <w:pStyle w:val="Normal"/>
              <w:ind w:firstLine="90" w:start="-198" w:end="-738"/>
              <w:rPr/>
            </w:pPr>
            <w:r>
              <w:rPr/>
              <w:t>Date DASH Completed:</w:t>
              <w:tab/>
              <w:t>March 22, 2001</w:t>
            </w:r>
          </w:p>
          <w:p>
            <w:pPr>
              <w:pStyle w:val="Normal"/>
              <w:ind w:firstLine="90" w:start="-198" w:end="-1095"/>
              <w:rPr/>
            </w:pPr>
            <w:r>
              <w:rPr/>
              <w:t>RAC Analyst/Underwriter:</w:t>
              <w:tab/>
              <w:t>NA/Karen Barbour</w:t>
            </w:r>
          </w:p>
          <w:p>
            <w:pPr>
              <w:pStyle w:val="Normal"/>
              <w:ind w:firstLine="90" w:start="-198" w:end="-738"/>
              <w:rPr/>
            </w:pPr>
            <w:r>
              <w:rPr/>
              <w:t xml:space="preserve">Investment Type:  </w:t>
              <w:tab/>
              <w:tab/>
              <w:t>Joint Venture</w:t>
            </w:r>
          </w:p>
          <w:p>
            <w:pPr>
              <w:pStyle w:val="Normal"/>
              <w:ind w:firstLine="90" w:start="-198" w:end="-738"/>
              <w:rPr/>
            </w:pPr>
            <w:r>
              <w:rPr/>
              <w:t xml:space="preserve">Capital Funding Source(s):  </w:t>
              <w:tab/>
              <w:t>NA</w:t>
            </w:r>
          </w:p>
          <w:p>
            <w:pPr>
              <w:pStyle w:val="Normal"/>
              <w:ind w:firstLine="90" w:start="-198" w:end="-738"/>
              <w:rPr/>
            </w:pPr>
            <w:r>
              <w:rPr/>
              <w:t xml:space="preserve">Expected Closing Date:  </w:t>
              <w:tab/>
              <w:t>April 2001</w:t>
            </w:r>
          </w:p>
          <w:p>
            <w:pPr>
              <w:pStyle w:val="Normal"/>
              <w:ind w:firstLine="90" w:start="-198" w:end="-738"/>
              <w:rPr/>
            </w:pPr>
            <w:r>
              <w:rPr/>
              <w:t xml:space="preserve">Expected Funding Date: </w:t>
              <w:tab/>
              <w:t>NA</w:t>
            </w:r>
          </w:p>
          <w:p>
            <w:pPr>
              <w:pStyle w:val="Normal"/>
              <w:ind w:firstLine="90" w:start="-198" w:end="-738"/>
              <w:rPr/>
            </w:pPr>
            <w:r>
              <w:rPr/>
              <w:t xml:space="preserve">Board Approval: </w:t>
            </w:r>
            <w:r>
              <w:rPr>
                <w:rFonts w:cs="Wingdings" w:ascii="Wingdings" w:hAnsi="Wingdings"/>
              </w:rPr>
              <w:sym w:font="Wingdings" w:char="f070"/>
            </w:r>
            <w:r>
              <w:rPr/>
              <w:t xml:space="preserve">Pending  </w:t>
            </w:r>
            <w:r>
              <w:rPr>
                <w:rFonts w:cs="Wingdings" w:ascii="Wingdings" w:hAnsi="Wingdings"/>
              </w:rPr>
              <w:sym w:font="Wingdings" w:char="f070"/>
            </w:r>
            <w:r>
              <w:rPr/>
              <w:t xml:space="preserve">Received  </w:t>
            </w:r>
            <w:r>
              <w:rPr>
                <w:rFonts w:cs="Wingdings" w:ascii="Wingdings" w:hAnsi="Wingdings"/>
              </w:rPr>
              <w:sym w:font="Wingdings" w:char="f070"/>
            </w:r>
            <w:r>
              <w:rPr/>
              <w:t xml:space="preserve">Denied  </w:t>
            </w:r>
            <w:r>
              <w:rPr>
                <w:rFonts w:eastAsia="Wingdings" w:cs="Wingdings" w:ascii="Wingdings" w:hAnsi="Wingdings"/>
              </w:rPr>
              <w:sym w:font="Wingdings" w:char="f078"/>
            </w:r>
            <w:r>
              <w:rPr/>
              <w:t>N/A</w:t>
            </w:r>
          </w:p>
        </w:tc>
      </w:tr>
    </w:tbl>
    <w:p>
      <w:pPr>
        <w:pStyle w:val="Normal"/>
        <w:rPr/>
      </w:pPr>
      <w:r>
        <w:rPr/>
        <w:t xml:space="preserve">RAC Recommendation: </w:t>
      </w:r>
      <w:r>
        <w:rPr>
          <w:rFonts w:cs="Wingdings" w:ascii="Wingdings" w:hAnsi="Wingdings"/>
        </w:rPr>
        <w:sym w:font="Wingdings" w:char="f078"/>
      </w:r>
      <w:r>
        <w:rPr/>
        <w:t xml:space="preserve">Proceed with Transaction    </w:t>
      </w:r>
      <w:r>
        <w:rPr>
          <w:rFonts w:cs="Wingdings" w:ascii="Wingdings" w:hAnsi="Wingdings"/>
        </w:rPr>
        <w:sym w:font="Wingdings" w:char="f070"/>
      </w:r>
      <w:r>
        <w:rPr/>
        <w:t xml:space="preserve">Returns below Capital Price   </w:t>
      </w:r>
      <w:r>
        <w:rPr>
          <w:rFonts w:cs="Wingdings" w:ascii="Wingdings" w:hAnsi="Wingdings"/>
        </w:rPr>
        <w:sym w:font="Wingdings" w:char="f070"/>
      </w:r>
      <w:r>
        <w:rPr/>
        <w:t>Do not Proceed</w:t>
      </w:r>
    </w:p>
    <w:p>
      <w:pPr>
        <w:pStyle w:val="Heading4"/>
        <w:pBdr>
          <w:top w:val="single" w:sz="8" w:space="1" w:color="000000"/>
        </w:pBdr>
        <w:tabs>
          <w:tab w:val="clear" w:pos="9990"/>
          <w:tab w:val="left" w:pos="10260" w:leader="none"/>
        </w:tabs>
        <w:rPr/>
      </w:pPr>
      <w:r>
        <w:rPr/>
        <w:t>APPROVAL REQUESTED</w:t>
      </w:r>
    </w:p>
    <w:p>
      <w:pPr>
        <w:pStyle w:val="Normal"/>
        <w:numPr>
          <w:ilvl w:val="0"/>
          <w:numId w:val="2"/>
        </w:numPr>
        <w:ind w:hanging="360" w:start="360" w:end="-306"/>
        <w:rPr/>
      </w:pPr>
      <w:r>
        <w:rPr/>
        <w:t>To release Parsons from a joint and several joint venture (the “JV”) initially formed with Enron in October 2000 and to be assigned to NEPCO for the purpose of bidding, as a JV, an engineering, procurement and construction (“EPC”) contract of the Wolf Hollow Power Plant (the “Project”) for AES and/or its affiliates (“AES”) under certain terms and conditions detailed below.</w:t>
      </w:r>
    </w:p>
    <w:p>
      <w:pPr>
        <w:pStyle w:val="Heading1"/>
        <w:pBdr>
          <w:top w:val="single" w:sz="8" w:space="1" w:color="000000"/>
        </w:pBdr>
        <w:ind w:hanging="0" w:start="0" w:end="-36"/>
        <w:rPr/>
      </w:pPr>
      <w:r>
        <w:rPr/>
        <w:t>EXPOSURE SUMMARY–</w:t>
      </w:r>
      <w:r>
        <w:rPr>
          <w:b w:val="false"/>
          <w:bCs/>
        </w:rPr>
        <w:t>Not changed with respect to AES under the EPC contract since NEPCO had joint and several liabilities under the JV structure; except that under the new structure, NEPCO’s recourse vis-à-vis Parsons for any defective services will be based on a subcontract with reduced limitations on liability.</w:t>
      </w:r>
    </w:p>
    <w:p>
      <w:pPr>
        <w:pStyle w:val="Heading2"/>
        <w:widowControl/>
        <w:pBdr>
          <w:top w:val="single" w:sz="8" w:space="1" w:color="000000"/>
        </w:pBdr>
        <w:ind w:hanging="0" w:start="0" w:end="-36"/>
        <w:rPr>
          <w:i w:val="false"/>
          <w:i w:val="false"/>
        </w:rPr>
      </w:pPr>
      <w:r>
        <w:rPr>
          <w:i w:val="false"/>
        </w:rPr>
        <w:t>DEAL DESCRIPTION</w:t>
      </w:r>
    </w:p>
    <w:p>
      <w:pPr>
        <w:pStyle w:val="Normal"/>
        <w:numPr>
          <w:ilvl w:val="0"/>
          <w:numId w:val="3"/>
        </w:numPr>
        <w:rPr/>
      </w:pPr>
      <w:r>
        <w:rPr/>
        <w:t xml:space="preserve">Enron and Parsons, bidding as a JV, won the EPC contract and is bound under a draft EPC contract upon accepting an extended limited notice to proceed (“XLNTP”) in October 2000.  The JV specifically delineated the engineering, procurement and construction responsibilities between Parsons and NEPCO, though they share joint and several liabilities under the EPC contract. </w:t>
      </w:r>
    </w:p>
    <w:p>
      <w:pPr>
        <w:pStyle w:val="Normal"/>
        <w:numPr>
          <w:ilvl w:val="0"/>
          <w:numId w:val="3"/>
        </w:numPr>
        <w:rPr/>
      </w:pPr>
      <w:r>
        <w:rPr/>
        <w:t>A JV agreement under which Parsons was nominated as the JV leader was formalized but never executed by Parsons.  However, Enron legal and its outside counsel believe that since all business conducted in relation to the Project had been conveyed in the name of the JV, each party is regarded to have entered into a JV for the purpose of this Project.</w:t>
      </w:r>
    </w:p>
    <w:p>
      <w:pPr>
        <w:pStyle w:val="Normal"/>
        <w:numPr>
          <w:ilvl w:val="0"/>
          <w:numId w:val="3"/>
        </w:numPr>
        <w:rPr/>
      </w:pPr>
      <w:r>
        <w:rPr/>
        <w:t xml:space="preserve">The Project progress is behind schedule mainly caused by Parsons’ delay in performing its engineering/procurement services.  </w:t>
      </w:r>
    </w:p>
    <w:p>
      <w:pPr>
        <w:pStyle w:val="Normal"/>
        <w:numPr>
          <w:ilvl w:val="0"/>
          <w:numId w:val="3"/>
        </w:numPr>
        <w:rPr/>
      </w:pPr>
      <w:r>
        <w:rPr/>
        <w:t xml:space="preserve">EEOS/NEPCO management believes that Parsons’ performance delay and certain quality issues may stem from its recent shift of strategic direction and the resulting decrease of home office support on this Project.  To effectuate this change in corporate direction Parsons is refusing to execute the finalized JV Agreement or finalized EPC contract needed for financial closing of the Project, and instead, desires to be released from the JV obligations and simply perform its engineering/procurement services under a service subcontract for a fixed fee.    </w:t>
      </w:r>
    </w:p>
    <w:p>
      <w:pPr>
        <w:pStyle w:val="Normal"/>
        <w:numPr>
          <w:ilvl w:val="0"/>
          <w:numId w:val="3"/>
        </w:numPr>
        <w:rPr/>
      </w:pPr>
      <w:r>
        <w:rPr/>
        <w:t>After several discussions with Parsons, NEPCO decided to release Parsons from the JV agreement and to enter into a service subcontract with Parsons guaranteed by its ultimate parent company, Parsons Corporation, for the same scope of work relating to engineering, procurement, and field/start-up assistance as specified in the XLNTP and the EPC contract or as otherwise acceptable to NEPCO.  The release is contingent upon RAC approval and Parsons’ ability to comply with the following major conditions:</w:t>
      </w:r>
    </w:p>
    <w:p>
      <w:pPr>
        <w:pStyle w:val="Normal"/>
        <w:numPr>
          <w:ilvl w:val="0"/>
          <w:numId w:val="3"/>
        </w:numPr>
        <w:tabs>
          <w:tab w:val="left" w:pos="720" w:leader="none"/>
        </w:tabs>
        <w:ind w:hanging="360" w:start="720" w:end="0"/>
        <w:rPr/>
      </w:pPr>
      <w:r>
        <w:rPr/>
        <w:t>Parsons to post a $4 million LOC, issued by a bank approved by NEPCO, to secure the performance of all of its obligations under the service subcontract.  The LOC amount will step down based on pre-defined completion dates.</w:t>
      </w:r>
    </w:p>
    <w:p>
      <w:pPr>
        <w:pStyle w:val="Normal"/>
        <w:numPr>
          <w:ilvl w:val="0"/>
          <w:numId w:val="3"/>
        </w:numPr>
        <w:tabs>
          <w:tab w:val="left" w:pos="720" w:leader="none"/>
        </w:tabs>
        <w:ind w:hanging="360" w:start="720" w:end="0"/>
        <w:rPr/>
      </w:pPr>
      <w:r>
        <w:rPr/>
        <w:t>Parsons to convey to NEPCO all right, title and interest in and to the engineering model, materials control system, and document control system developed for the Project by Parsons.</w:t>
      </w:r>
    </w:p>
    <w:p>
      <w:pPr>
        <w:pStyle w:val="Normal"/>
        <w:numPr>
          <w:ilvl w:val="0"/>
          <w:numId w:val="3"/>
        </w:numPr>
        <w:tabs>
          <w:tab w:val="left" w:pos="720" w:leader="none"/>
        </w:tabs>
        <w:ind w:hanging="360" w:start="720" w:end="0"/>
        <w:rPr/>
      </w:pPr>
      <w:r>
        <w:rPr/>
        <w:t>Parsons to arrange for NEPCO to examine all Project related vendor contracts, and to have them assigned to NEPCO provided certain conditions are satisfied.</w:t>
      </w:r>
    </w:p>
    <w:p>
      <w:pPr>
        <w:pStyle w:val="Normal"/>
        <w:numPr>
          <w:ilvl w:val="0"/>
          <w:numId w:val="3"/>
        </w:numPr>
        <w:tabs>
          <w:tab w:val="left" w:pos="720" w:leader="none"/>
        </w:tabs>
        <w:ind w:hanging="360" w:start="720" w:end="0"/>
        <w:rPr/>
      </w:pPr>
      <w:r>
        <w:rPr/>
        <w:t>Parsons to (a) assign and employ such of its present engineering, procurement, project management and field support personnel as NEPCO shall designate to the Project on an exclusive basis until the Parsons’ scope of work is complete or until NEPCO approves the reassignment of such personnel, and (b) require any purchaser of the stock in, or of all or substantially all of the assets of, Parsons that hires such personnel to agree, for the benefit of Parsons and Enron, to comply with such requirements, all on terms acceptable to NEPCO.</w:t>
      </w:r>
    </w:p>
    <w:p>
      <w:pPr>
        <w:pStyle w:val="Normal"/>
        <w:numPr>
          <w:ilvl w:val="0"/>
          <w:numId w:val="3"/>
        </w:numPr>
        <w:tabs>
          <w:tab w:val="left" w:pos="720" w:leader="none"/>
        </w:tabs>
        <w:ind w:hanging="360" w:start="720" w:end="0"/>
        <w:rPr/>
      </w:pPr>
      <w:r>
        <w:rPr/>
        <w:t xml:space="preserve">Parsons to provide NEPCO with sufficient office space and equipment in its existing office in Houston for the Parsons personnel and for certain NEPCO personnel as set forth in the service subcontract. </w:t>
      </w:r>
    </w:p>
    <w:p>
      <w:pPr>
        <w:pStyle w:val="Normal"/>
        <w:numPr>
          <w:ilvl w:val="0"/>
          <w:numId w:val="3"/>
        </w:numPr>
        <w:tabs>
          <w:tab w:val="left" w:pos="720" w:leader="none"/>
        </w:tabs>
        <w:ind w:hanging="360" w:start="720" w:end="0"/>
        <w:rPr/>
      </w:pPr>
      <w:r>
        <w:rPr/>
        <w:t>Parsons to provide an accounting to NEPCO of all funds previously received, paid, or disbursed by Parsons to or from AES, the vendors or any other party up to the time that the service subcontract is executed.</w:t>
      </w:r>
    </w:p>
    <w:p>
      <w:pPr>
        <w:pStyle w:val="Normal"/>
        <w:numPr>
          <w:ilvl w:val="0"/>
          <w:numId w:val="3"/>
        </w:numPr>
        <w:tabs>
          <w:tab w:val="left" w:pos="720" w:leader="none"/>
        </w:tabs>
        <w:ind w:hanging="360" w:start="720" w:end="0"/>
        <w:rPr/>
      </w:pPr>
      <w:r>
        <w:rPr/>
        <w:t xml:space="preserve">Any release of Parsons under the JV and its obligations under the XLNTP is subject to acceptance of all terms and the  written concurrence of AES and/or its Lenders.  </w:t>
      </w:r>
    </w:p>
    <w:p>
      <w:pPr>
        <w:pStyle w:val="Normal"/>
        <w:numPr>
          <w:ilvl w:val="0"/>
          <w:numId w:val="3"/>
        </w:numPr>
        <w:tabs>
          <w:tab w:val="left" w:pos="720" w:leader="none"/>
        </w:tabs>
        <w:ind w:hanging="360" w:start="720" w:end="0"/>
        <w:rPr/>
      </w:pPr>
      <w:r>
        <w:rPr/>
        <w:t>The terms of the service subcontract will be written on a back-to-back basis per the terms of the EPC contract.</w:t>
      </w:r>
    </w:p>
    <w:p>
      <w:pPr>
        <w:pStyle w:val="Normal"/>
        <w:numPr>
          <w:ilvl w:val="0"/>
          <w:numId w:val="3"/>
        </w:numPr>
        <w:tabs>
          <w:tab w:val="left" w:pos="720" w:leader="none"/>
        </w:tabs>
        <w:ind w:hanging="360" w:start="720" w:end="0"/>
        <w:rPr/>
      </w:pPr>
      <w:r>
        <w:rPr/>
        <w:t>Parsons’ total limitation of liability under the service subcontract will be limited to the subcontract price ($10,825,000).</w:t>
      </w:r>
    </w:p>
    <w:p>
      <w:pPr>
        <w:pStyle w:val="Normal"/>
        <w:ind w:start="360" w:end="0"/>
        <w:rPr/>
      </w:pPr>
      <w:r>
        <w:rPr/>
      </w:r>
    </w:p>
    <w:p>
      <w:pPr>
        <w:pStyle w:val="Heading2"/>
        <w:widowControl/>
        <w:pBdr>
          <w:top w:val="single" w:sz="8" w:space="1" w:color="000000"/>
        </w:pBdr>
        <w:ind w:hanging="0" w:start="0" w:end="-36"/>
        <w:rPr>
          <w:b w:val="false"/>
          <w:bCs/>
          <w:i w:val="false"/>
          <w:i w:val="false"/>
          <w:iCs/>
        </w:rPr>
      </w:pPr>
      <w:r>
        <w:rPr>
          <w:b w:val="false"/>
          <w:bCs/>
          <w:i w:val="false"/>
          <w:iCs/>
        </w:rPr>
        <w:t xml:space="preserve">TRANSACTION SOURCES AND USES OF FUNDS </w:t>
      </w:r>
    </w:p>
    <w:tbl>
      <w:tblPr>
        <w:tblW w:w="9180" w:type="dxa"/>
        <w:jc w:val="start"/>
        <w:tblInd w:w="378" w:type="dxa"/>
        <w:tblLayout w:type="fixed"/>
        <w:tblCellMar>
          <w:top w:w="0" w:type="dxa"/>
          <w:start w:w="108" w:type="dxa"/>
          <w:bottom w:w="0" w:type="dxa"/>
          <w:end w:w="108" w:type="dxa"/>
        </w:tblCellMar>
      </w:tblPr>
      <w:tblGrid>
        <w:gridCol w:w="2160"/>
        <w:gridCol w:w="1260"/>
        <w:gridCol w:w="1710"/>
        <w:gridCol w:w="2790"/>
        <w:gridCol w:w="1260"/>
      </w:tblGrid>
      <w:tr>
        <w:trPr/>
        <w:tc>
          <w:tcPr>
            <w:tcW w:w="2160" w:type="dxa"/>
            <w:tcBorders/>
          </w:tcPr>
          <w:p>
            <w:pPr>
              <w:pStyle w:val="Normal"/>
              <w:snapToGrid w:val="false"/>
              <w:rPr/>
            </w:pPr>
            <w:r>
              <w:rPr/>
            </w:r>
          </w:p>
        </w:tc>
        <w:tc>
          <w:tcPr>
            <w:tcW w:w="1260" w:type="dxa"/>
            <w:tcBorders/>
          </w:tcPr>
          <w:p>
            <w:pPr>
              <w:pStyle w:val="Normal"/>
              <w:jc w:val="end"/>
              <w:rPr>
                <w:u w:val="single"/>
              </w:rPr>
            </w:pPr>
            <w:r>
              <w:rPr>
                <w:u w:val="single"/>
              </w:rPr>
              <w:t>Sources</w:t>
            </w:r>
          </w:p>
        </w:tc>
        <w:tc>
          <w:tcPr>
            <w:tcW w:w="1710" w:type="dxa"/>
            <w:tcBorders/>
          </w:tcPr>
          <w:p>
            <w:pPr>
              <w:pStyle w:val="Normal"/>
              <w:snapToGrid w:val="false"/>
              <w:jc w:val="end"/>
              <w:rPr>
                <w:u w:val="single"/>
              </w:rPr>
            </w:pPr>
            <w:r>
              <w:rPr>
                <w:u w:val="single"/>
              </w:rPr>
            </w:r>
          </w:p>
        </w:tc>
        <w:tc>
          <w:tcPr>
            <w:tcW w:w="2790" w:type="dxa"/>
            <w:tcBorders/>
          </w:tcPr>
          <w:p>
            <w:pPr>
              <w:pStyle w:val="Normal"/>
              <w:snapToGrid w:val="false"/>
              <w:jc w:val="end"/>
              <w:rPr>
                <w:u w:val="single"/>
              </w:rPr>
            </w:pPr>
            <w:r>
              <w:rPr>
                <w:u w:val="single"/>
              </w:rPr>
            </w:r>
          </w:p>
        </w:tc>
        <w:tc>
          <w:tcPr>
            <w:tcW w:w="1260" w:type="dxa"/>
            <w:tcBorders/>
          </w:tcPr>
          <w:p>
            <w:pPr>
              <w:pStyle w:val="Normal"/>
              <w:jc w:val="end"/>
              <w:rPr>
                <w:u w:val="single"/>
              </w:rPr>
            </w:pPr>
            <w:r>
              <w:rPr>
                <w:u w:val="single"/>
              </w:rPr>
              <w:t>Uses</w:t>
            </w:r>
          </w:p>
        </w:tc>
      </w:tr>
      <w:tr>
        <w:trPr/>
        <w:tc>
          <w:tcPr>
            <w:tcW w:w="2160" w:type="dxa"/>
            <w:tcBorders/>
          </w:tcPr>
          <w:p>
            <w:pPr>
              <w:pStyle w:val="Normal"/>
              <w:rPr/>
            </w:pPr>
            <w:r>
              <w:rPr/>
              <w:t>Project Revenue</w:t>
            </w:r>
          </w:p>
        </w:tc>
        <w:tc>
          <w:tcPr>
            <w:tcW w:w="1260" w:type="dxa"/>
            <w:tcBorders/>
          </w:tcPr>
          <w:p>
            <w:pPr>
              <w:pStyle w:val="Normal"/>
              <w:jc w:val="end"/>
              <w:rPr>
                <w:u w:val="single"/>
              </w:rPr>
            </w:pPr>
            <w:r>
              <w:rPr>
                <w:u w:val="single"/>
              </w:rPr>
              <w:t>$299.5</w:t>
            </w:r>
          </w:p>
        </w:tc>
        <w:tc>
          <w:tcPr>
            <w:tcW w:w="1710" w:type="dxa"/>
            <w:tcBorders/>
          </w:tcPr>
          <w:p>
            <w:pPr>
              <w:pStyle w:val="Normal"/>
              <w:snapToGrid w:val="false"/>
              <w:jc w:val="end"/>
              <w:rPr>
                <w:u w:val="single"/>
              </w:rPr>
            </w:pPr>
            <w:r>
              <w:rPr>
                <w:u w:val="single"/>
              </w:rPr>
            </w:r>
          </w:p>
        </w:tc>
        <w:tc>
          <w:tcPr>
            <w:tcW w:w="2790" w:type="dxa"/>
            <w:tcBorders/>
          </w:tcPr>
          <w:p>
            <w:pPr>
              <w:pStyle w:val="Header"/>
              <w:widowControl/>
              <w:tabs>
                <w:tab w:val="clear" w:pos="4320"/>
                <w:tab w:val="clear" w:pos="8640"/>
              </w:tabs>
              <w:rPr/>
            </w:pPr>
            <w:r>
              <w:rPr/>
              <w:t>EPC Contract Costs</w:t>
            </w:r>
          </w:p>
        </w:tc>
        <w:tc>
          <w:tcPr>
            <w:tcW w:w="1260" w:type="dxa"/>
            <w:tcBorders/>
          </w:tcPr>
          <w:p>
            <w:pPr>
              <w:pStyle w:val="Normal"/>
              <w:jc w:val="end"/>
              <w:rPr/>
            </w:pPr>
            <w:r>
              <w:rPr/>
              <w:t>$275.8</w:t>
            </w:r>
          </w:p>
        </w:tc>
      </w:tr>
      <w:tr>
        <w:trPr/>
        <w:tc>
          <w:tcPr>
            <w:tcW w:w="2160" w:type="dxa"/>
            <w:tcBorders/>
          </w:tcPr>
          <w:p>
            <w:pPr>
              <w:pStyle w:val="Normal"/>
              <w:rPr/>
            </w:pPr>
            <w:r>
              <w:rPr/>
              <w:t>Total</w:t>
            </w:r>
          </w:p>
        </w:tc>
        <w:tc>
          <w:tcPr>
            <w:tcW w:w="1260" w:type="dxa"/>
            <w:tcBorders/>
          </w:tcPr>
          <w:p>
            <w:pPr>
              <w:pStyle w:val="Normal"/>
              <w:jc w:val="end"/>
              <w:rPr>
                <w:u w:val="double"/>
              </w:rPr>
            </w:pPr>
            <w:r>
              <w:rPr>
                <w:u w:val="double"/>
              </w:rPr>
              <w:t>$299.5</w:t>
            </w:r>
          </w:p>
        </w:tc>
        <w:tc>
          <w:tcPr>
            <w:tcW w:w="1710" w:type="dxa"/>
            <w:tcBorders/>
          </w:tcPr>
          <w:p>
            <w:pPr>
              <w:pStyle w:val="Normal"/>
              <w:snapToGrid w:val="false"/>
              <w:jc w:val="end"/>
              <w:rPr>
                <w:u w:val="double"/>
              </w:rPr>
            </w:pPr>
            <w:r>
              <w:rPr>
                <w:u w:val="double"/>
              </w:rPr>
            </w:r>
          </w:p>
        </w:tc>
        <w:tc>
          <w:tcPr>
            <w:tcW w:w="2790" w:type="dxa"/>
            <w:tcBorders/>
          </w:tcPr>
          <w:p>
            <w:pPr>
              <w:pStyle w:val="Header"/>
              <w:widowControl/>
              <w:tabs>
                <w:tab w:val="clear" w:pos="4320"/>
                <w:tab w:val="clear" w:pos="8640"/>
              </w:tabs>
              <w:rPr/>
            </w:pPr>
            <w:r>
              <w:rPr/>
              <w:t>Contingency</w:t>
            </w:r>
          </w:p>
        </w:tc>
        <w:tc>
          <w:tcPr>
            <w:tcW w:w="1260" w:type="dxa"/>
            <w:tcBorders/>
          </w:tcPr>
          <w:p>
            <w:pPr>
              <w:pStyle w:val="Normal"/>
              <w:jc w:val="end"/>
              <w:rPr/>
            </w:pPr>
            <w:r>
              <w:rPr/>
              <w:t xml:space="preserve"> </w:t>
            </w:r>
            <w:r>
              <w:rPr/>
              <w:t>15.5</w:t>
            </w:r>
          </w:p>
        </w:tc>
      </w:tr>
      <w:tr>
        <w:trPr/>
        <w:tc>
          <w:tcPr>
            <w:tcW w:w="2160" w:type="dxa"/>
            <w:tcBorders/>
          </w:tcPr>
          <w:p>
            <w:pPr>
              <w:pStyle w:val="Normal"/>
              <w:snapToGrid w:val="false"/>
              <w:rPr/>
            </w:pPr>
            <w:r>
              <w:rPr/>
            </w:r>
          </w:p>
        </w:tc>
        <w:tc>
          <w:tcPr>
            <w:tcW w:w="1260" w:type="dxa"/>
            <w:tcBorders/>
          </w:tcPr>
          <w:p>
            <w:pPr>
              <w:pStyle w:val="Normal"/>
              <w:snapToGrid w:val="false"/>
              <w:jc w:val="end"/>
              <w:rPr/>
            </w:pPr>
            <w:r>
              <w:rPr/>
            </w:r>
          </w:p>
        </w:tc>
        <w:tc>
          <w:tcPr>
            <w:tcW w:w="1710" w:type="dxa"/>
            <w:tcBorders/>
          </w:tcPr>
          <w:p>
            <w:pPr>
              <w:pStyle w:val="Normal"/>
              <w:snapToGrid w:val="false"/>
              <w:jc w:val="end"/>
              <w:rPr/>
            </w:pPr>
            <w:r>
              <w:rPr/>
            </w:r>
          </w:p>
        </w:tc>
        <w:tc>
          <w:tcPr>
            <w:tcW w:w="2790" w:type="dxa"/>
            <w:tcBorders/>
          </w:tcPr>
          <w:p>
            <w:pPr>
              <w:pStyle w:val="Header"/>
              <w:widowControl/>
              <w:tabs>
                <w:tab w:val="clear" w:pos="4320"/>
                <w:tab w:val="clear" w:pos="8640"/>
              </w:tabs>
              <w:rPr/>
            </w:pPr>
            <w:r>
              <w:rPr/>
              <w:t>Expected Profit</w:t>
            </w:r>
          </w:p>
        </w:tc>
        <w:tc>
          <w:tcPr>
            <w:tcW w:w="1260" w:type="dxa"/>
            <w:tcBorders/>
          </w:tcPr>
          <w:p>
            <w:pPr>
              <w:pStyle w:val="Normal"/>
              <w:jc w:val="end"/>
              <w:rPr>
                <w:u w:val="single"/>
              </w:rPr>
            </w:pPr>
            <w:r>
              <w:rPr>
                <w:u w:val="single"/>
              </w:rPr>
              <w:t xml:space="preserve"> </w:t>
            </w:r>
            <w:r>
              <w:rPr>
                <w:u w:val="single"/>
              </w:rPr>
              <w:t>8.2</w:t>
            </w:r>
          </w:p>
        </w:tc>
      </w:tr>
      <w:tr>
        <w:trPr/>
        <w:tc>
          <w:tcPr>
            <w:tcW w:w="2160" w:type="dxa"/>
            <w:tcBorders/>
          </w:tcPr>
          <w:p>
            <w:pPr>
              <w:pStyle w:val="Normal"/>
              <w:snapToGrid w:val="false"/>
              <w:rPr>
                <w:u w:val="single"/>
              </w:rPr>
            </w:pPr>
            <w:r>
              <w:rPr>
                <w:u w:val="single"/>
              </w:rPr>
            </w:r>
          </w:p>
        </w:tc>
        <w:tc>
          <w:tcPr>
            <w:tcW w:w="1260" w:type="dxa"/>
            <w:tcBorders/>
          </w:tcPr>
          <w:p>
            <w:pPr>
              <w:pStyle w:val="Normal"/>
              <w:snapToGrid w:val="false"/>
              <w:jc w:val="end"/>
              <w:rPr/>
            </w:pPr>
            <w:r>
              <w:rPr/>
            </w:r>
          </w:p>
        </w:tc>
        <w:tc>
          <w:tcPr>
            <w:tcW w:w="1710" w:type="dxa"/>
            <w:tcBorders/>
          </w:tcPr>
          <w:p>
            <w:pPr>
              <w:pStyle w:val="Normal"/>
              <w:snapToGrid w:val="false"/>
              <w:jc w:val="end"/>
              <w:rPr/>
            </w:pPr>
            <w:r>
              <w:rPr/>
            </w:r>
          </w:p>
        </w:tc>
        <w:tc>
          <w:tcPr>
            <w:tcW w:w="2790" w:type="dxa"/>
            <w:tcBorders/>
          </w:tcPr>
          <w:p>
            <w:pPr>
              <w:pStyle w:val="Header"/>
              <w:widowControl/>
              <w:tabs>
                <w:tab w:val="clear" w:pos="4320"/>
                <w:tab w:val="clear" w:pos="8640"/>
              </w:tabs>
              <w:rPr/>
            </w:pPr>
            <w:r>
              <w:rPr/>
              <w:t>Total Contract Price</w:t>
            </w:r>
          </w:p>
        </w:tc>
        <w:tc>
          <w:tcPr>
            <w:tcW w:w="1260" w:type="dxa"/>
            <w:tcBorders/>
          </w:tcPr>
          <w:p>
            <w:pPr>
              <w:pStyle w:val="Normal"/>
              <w:jc w:val="end"/>
              <w:rPr>
                <w:u w:val="double"/>
              </w:rPr>
            </w:pPr>
            <w:r>
              <w:rPr>
                <w:u w:val="double"/>
              </w:rPr>
              <w:t>$299.5</w:t>
            </w:r>
          </w:p>
        </w:tc>
      </w:tr>
    </w:tbl>
    <w:p>
      <w:pPr>
        <w:pStyle w:val="Normal"/>
        <w:rPr/>
      </w:pPr>
      <w:r>
        <w:rPr/>
      </w:r>
    </w:p>
    <w:p>
      <w:pPr>
        <w:pStyle w:val="Heading2"/>
        <w:widowControl/>
        <w:pBdr>
          <w:top w:val="single" w:sz="8" w:space="1" w:color="000000"/>
        </w:pBdr>
        <w:ind w:hanging="0" w:start="0" w:end="-36"/>
        <w:rPr>
          <w:i w:val="false"/>
          <w:i w:val="false"/>
        </w:rPr>
      </w:pPr>
      <w:r>
        <w:rPr>
          <w:i w:val="false"/>
        </w:rPr>
        <w:t>TRANSACTION UPSIDES/OPTIONALITY</w:t>
      </w:r>
    </w:p>
    <w:p>
      <w:pPr>
        <w:pStyle w:val="Normal"/>
        <w:numPr>
          <w:ilvl w:val="0"/>
          <w:numId w:val="4"/>
        </w:numPr>
        <w:ind w:hanging="360" w:start="360" w:end="-36"/>
        <w:rPr/>
      </w:pPr>
      <w:r>
        <w:rPr/>
        <w:t>Though the originally anticipated upside relating to fuel supply, ENA trading opportunities and Caribbean asset sales did not materialize, EEOS/NPECO management believes that its commercial relationship with AES had strengthened from working together to resolve issues relating to Parsons’ performance.   NEPCO still intends to pursue two power plant EPC contracts with AES.</w:t>
      </w:r>
    </w:p>
    <w:p>
      <w:pPr>
        <w:pStyle w:val="Normal"/>
        <w:ind w:end="-36"/>
        <w:rPr/>
      </w:pPr>
      <w:r>
        <w:rPr/>
      </w:r>
    </w:p>
    <w:p>
      <w:pPr>
        <w:pStyle w:val="Heading2"/>
        <w:widowControl/>
        <w:pBdr>
          <w:top w:val="single" w:sz="8" w:space="1" w:color="000000"/>
        </w:pBdr>
        <w:ind w:hanging="0" w:start="0" w:end="-36"/>
        <w:rPr>
          <w:i w:val="false"/>
          <w:i w:val="false"/>
          <w:iCs/>
        </w:rPr>
      </w:pPr>
      <w:r>
        <w:rPr>
          <w:i w:val="false"/>
          <w:iCs/>
        </w:rPr>
        <w:t xml:space="preserve">RISK MATRIX – </w:t>
      </w:r>
      <w:r>
        <w:rPr>
          <w:b w:val="false"/>
          <w:bCs/>
          <w:i w:val="false"/>
          <w:iCs/>
        </w:rPr>
        <w:t>Project risks remain the same as originally identified.</w:t>
      </w:r>
    </w:p>
    <w:p>
      <w:pPr>
        <w:pStyle w:val="Header"/>
        <w:widowControl/>
        <w:tabs>
          <w:tab w:val="clear" w:pos="4320"/>
          <w:tab w:val="clear" w:pos="8640"/>
        </w:tabs>
        <w:rPr>
          <w:i/>
          <w:i/>
          <w:iCs/>
        </w:rPr>
      </w:pPr>
      <w:r>
        <w:rPr>
          <w:i/>
          <w:iCs/>
        </w:rPr>
      </w:r>
    </w:p>
    <w:p>
      <w:pPr>
        <w:pStyle w:val="Normal"/>
        <w:pBdr>
          <w:top w:val="single" w:sz="8" w:space="1" w:color="000000"/>
        </w:pBdr>
        <w:rPr>
          <w:b/>
        </w:rPr>
      </w:pPr>
      <w:r>
        <w:rPr>
          <w:b/>
        </w:rPr>
        <w:t xml:space="preserve">OTHER RAC COMMENTS: </w:t>
      </w:r>
    </w:p>
    <w:p>
      <w:pPr>
        <w:pStyle w:val="List"/>
        <w:keepLines/>
        <w:numPr>
          <w:ilvl w:val="0"/>
          <w:numId w:val="5"/>
        </w:numPr>
        <w:rPr/>
      </w:pPr>
      <w:r>
        <w:rPr/>
        <w:t>Given Parsons’ weak financial status, the JV structure originally contemplated essentially exposed Enron/NEPCO to 100% of the project risks with a 50/50 economic distribution.  The disproportional risk/reward allocation was accepted based on the expectation that joint and several liabilities under the JV structure would serve to mitigate, to some extent, Parsons’ performance risks.</w:t>
      </w:r>
    </w:p>
    <w:p>
      <w:pPr>
        <w:pStyle w:val="List"/>
        <w:keepLines/>
        <w:numPr>
          <w:ilvl w:val="0"/>
          <w:numId w:val="5"/>
        </w:numPr>
        <w:rPr/>
      </w:pPr>
      <w:r>
        <w:rPr/>
        <w:t xml:space="preserve">Parsons’ performance since the JV’s acceptance of the XLNTP has been less than satisfactory.  Additionally, changes of its strategic direction had minimized the critical home office support for the Houston office that is performing the actual work.  </w:t>
      </w:r>
    </w:p>
    <w:p>
      <w:pPr>
        <w:pStyle w:val="List"/>
        <w:keepLines/>
        <w:numPr>
          <w:ilvl w:val="0"/>
          <w:numId w:val="5"/>
        </w:numPr>
        <w:tabs>
          <w:tab w:val="clear" w:pos="720"/>
          <w:tab w:val="left" w:pos="8190" w:leader="none"/>
        </w:tabs>
        <w:rPr/>
      </w:pPr>
      <w:r>
        <w:rPr/>
        <w:t>RAC recommends the acceptance of Parsons’ request to be released from the JV structure, under the specific terms and conditions, because the proposed service contract will allow NEPCO to step in the lead contractor role and take control of Parsons’ direct and indirect resources to finish its scope of work, if necessary.  The milestone payments to Parsons of the subcontract price with a discretionary project completion bonus is designed to hold it responsible and provide an incentive for the impact and completion of its scope of work on the Project.</w:t>
      </w:r>
    </w:p>
    <w:p>
      <w:pPr>
        <w:pStyle w:val="List"/>
        <w:keepLines/>
        <w:rPr/>
      </w:pPr>
      <w:r>
        <w:rPr/>
      </w:r>
    </w:p>
    <w:tbl>
      <w:tblPr>
        <w:tblW w:w="10368" w:type="dxa"/>
        <w:jc w:val="start"/>
        <w:tblInd w:w="0" w:type="dxa"/>
        <w:tblLayout w:type="fixed"/>
        <w:tblCellMar>
          <w:top w:w="0" w:type="dxa"/>
          <w:start w:w="108" w:type="dxa"/>
          <w:bottom w:w="0" w:type="dxa"/>
          <w:end w:w="108" w:type="dxa"/>
        </w:tblCellMar>
      </w:tblPr>
      <w:tblGrid>
        <w:gridCol w:w="2448"/>
        <w:gridCol w:w="360"/>
        <w:gridCol w:w="2932"/>
        <w:gridCol w:w="354"/>
        <w:gridCol w:w="2924"/>
        <w:gridCol w:w="293"/>
        <w:gridCol w:w="1057"/>
      </w:tblGrid>
      <w:tr>
        <w:trPr>
          <w:trHeight w:val="405" w:hRule="atLeast"/>
        </w:trPr>
        <w:tc>
          <w:tcPr>
            <w:tcW w:w="2448" w:type="dxa"/>
            <w:tcBorders>
              <w:top w:val="single" w:sz="4" w:space="0" w:color="000000"/>
            </w:tcBorders>
            <w:vAlign w:val="bottom"/>
          </w:tcPr>
          <w:p>
            <w:pPr>
              <w:pStyle w:val="Heading1"/>
              <w:ind w:hanging="0" w:start="0"/>
              <w:rPr>
                <w:i/>
                <w:i/>
              </w:rPr>
            </w:pPr>
            <w:r>
              <w:rPr/>
              <w:t>APPROVALS</w:t>
            </w:r>
          </w:p>
        </w:tc>
        <w:tc>
          <w:tcPr>
            <w:tcW w:w="360" w:type="dxa"/>
            <w:tcBorders>
              <w:top w:val="single" w:sz="4" w:space="0" w:color="000000"/>
            </w:tcBorders>
            <w:vAlign w:val="bottom"/>
          </w:tcPr>
          <w:p>
            <w:pPr>
              <w:pStyle w:val="Normal"/>
              <w:keepNext w:val="true"/>
              <w:snapToGrid w:val="false"/>
              <w:rPr>
                <w:b/>
                <w:i/>
                <w:i/>
              </w:rPr>
            </w:pPr>
            <w:r>
              <w:rPr>
                <w:b/>
                <w:i/>
              </w:rPr>
            </w:r>
          </w:p>
        </w:tc>
        <w:tc>
          <w:tcPr>
            <w:tcW w:w="2932" w:type="dxa"/>
            <w:tcBorders>
              <w:top w:val="single" w:sz="4" w:space="0" w:color="000000"/>
            </w:tcBorders>
            <w:vAlign w:val="bottom"/>
          </w:tcPr>
          <w:p>
            <w:pPr>
              <w:pStyle w:val="Normal"/>
              <w:keepNext w:val="true"/>
              <w:jc w:val="center"/>
              <w:rPr>
                <w:b/>
              </w:rPr>
            </w:pPr>
            <w:r>
              <w:rPr>
                <w:b/>
              </w:rPr>
              <w:t>Name</w:t>
            </w:r>
          </w:p>
        </w:tc>
        <w:tc>
          <w:tcPr>
            <w:tcW w:w="354" w:type="dxa"/>
            <w:tcBorders>
              <w:top w:val="single" w:sz="4" w:space="0" w:color="000000"/>
            </w:tcBorders>
            <w:vAlign w:val="bottom"/>
          </w:tcPr>
          <w:p>
            <w:pPr>
              <w:pStyle w:val="Normal"/>
              <w:keepNext w:val="true"/>
              <w:snapToGrid w:val="false"/>
              <w:jc w:val="center"/>
              <w:rPr>
                <w:b/>
              </w:rPr>
            </w:pPr>
            <w:r>
              <w:rPr>
                <w:b/>
              </w:rPr>
            </w:r>
          </w:p>
        </w:tc>
        <w:tc>
          <w:tcPr>
            <w:tcW w:w="2924" w:type="dxa"/>
            <w:tcBorders>
              <w:top w:val="single" w:sz="4" w:space="0" w:color="000000"/>
            </w:tcBorders>
            <w:vAlign w:val="bottom"/>
          </w:tcPr>
          <w:p>
            <w:pPr>
              <w:pStyle w:val="Normal"/>
              <w:keepNext w:val="true"/>
              <w:jc w:val="center"/>
              <w:rPr>
                <w:b/>
              </w:rPr>
            </w:pPr>
            <w:r>
              <w:rPr>
                <w:b/>
              </w:rPr>
              <w:t>Signature</w:t>
            </w:r>
          </w:p>
        </w:tc>
        <w:tc>
          <w:tcPr>
            <w:tcW w:w="293" w:type="dxa"/>
            <w:tcBorders>
              <w:top w:val="single" w:sz="4" w:space="0" w:color="000000"/>
            </w:tcBorders>
            <w:vAlign w:val="bottom"/>
          </w:tcPr>
          <w:p>
            <w:pPr>
              <w:pStyle w:val="Normal"/>
              <w:keepNext w:val="true"/>
              <w:snapToGrid w:val="false"/>
              <w:jc w:val="center"/>
              <w:rPr>
                <w:b/>
              </w:rPr>
            </w:pPr>
            <w:r>
              <w:rPr>
                <w:b/>
              </w:rPr>
            </w:r>
          </w:p>
        </w:tc>
        <w:tc>
          <w:tcPr>
            <w:tcW w:w="1057" w:type="dxa"/>
            <w:tcBorders>
              <w:top w:val="single" w:sz="4" w:space="0" w:color="000000"/>
            </w:tcBorders>
            <w:vAlign w:val="bottom"/>
          </w:tcPr>
          <w:p>
            <w:pPr>
              <w:pStyle w:val="Normal"/>
              <w:keepNext w:val="true"/>
              <w:jc w:val="center"/>
              <w:rPr>
                <w:b/>
              </w:rPr>
            </w:pPr>
            <w:r>
              <w:rPr>
                <w:b/>
              </w:rPr>
              <w:t>Date</w:t>
            </w:r>
          </w:p>
        </w:tc>
      </w:tr>
      <w:tr>
        <w:trPr>
          <w:trHeight w:val="297" w:hRule="atLeast"/>
        </w:trPr>
        <w:tc>
          <w:tcPr>
            <w:tcW w:w="2448" w:type="dxa"/>
            <w:tcBorders/>
          </w:tcPr>
          <w:p>
            <w:pPr>
              <w:pStyle w:val="Normal"/>
              <w:spacing w:before="120" w:after="0"/>
              <w:rPr/>
            </w:pPr>
            <w:r>
              <w:rPr/>
              <w:t>Regional Mgmt.</w:t>
            </w:r>
          </w:p>
        </w:tc>
        <w:tc>
          <w:tcPr>
            <w:tcW w:w="360" w:type="dxa"/>
            <w:tcBorders/>
          </w:tcPr>
          <w:p>
            <w:pPr>
              <w:pStyle w:val="Normal"/>
              <w:snapToGrid w:val="false"/>
              <w:spacing w:before="120" w:after="0"/>
              <w:rPr/>
            </w:pPr>
            <w:r>
              <w:rPr/>
            </w:r>
          </w:p>
        </w:tc>
        <w:tc>
          <w:tcPr>
            <w:tcW w:w="2932" w:type="dxa"/>
            <w:tcBorders>
              <w:bottom w:val="single" w:sz="6" w:space="0" w:color="000000"/>
            </w:tcBorders>
          </w:tcPr>
          <w:p>
            <w:pPr>
              <w:pStyle w:val="Header"/>
              <w:widowControl/>
              <w:tabs>
                <w:tab w:val="clear" w:pos="4320"/>
                <w:tab w:val="clear" w:pos="8640"/>
              </w:tabs>
              <w:spacing w:before="120" w:after="0"/>
              <w:rPr/>
            </w:pPr>
            <w:r>
              <w:rPr/>
              <w:t>Brian Stanley/Keith Dodson</w:t>
            </w:r>
          </w:p>
        </w:tc>
        <w:tc>
          <w:tcPr>
            <w:tcW w:w="354" w:type="dxa"/>
            <w:tcBorders/>
          </w:tcPr>
          <w:p>
            <w:pPr>
              <w:pStyle w:val="Normal"/>
              <w:snapToGrid w:val="false"/>
              <w:spacing w:before="120" w:after="0"/>
              <w:rPr/>
            </w:pPr>
            <w:r>
              <w:rPr/>
            </w:r>
          </w:p>
        </w:tc>
        <w:tc>
          <w:tcPr>
            <w:tcW w:w="2924" w:type="dxa"/>
            <w:tcBorders>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bottom w:val="single" w:sz="6"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Legal</w:t>
            </w:r>
          </w:p>
        </w:tc>
        <w:tc>
          <w:tcPr>
            <w:tcW w:w="360" w:type="dxa"/>
            <w:tcBorders/>
          </w:tcPr>
          <w:p>
            <w:pPr>
              <w:pStyle w:val="Normal"/>
              <w:snapToGrid w:val="false"/>
              <w:spacing w:before="120" w:after="0"/>
              <w:rPr/>
            </w:pPr>
            <w:r>
              <w:rPr/>
            </w:r>
          </w:p>
        </w:tc>
        <w:tc>
          <w:tcPr>
            <w:tcW w:w="2932" w:type="dxa"/>
            <w:tcBorders>
              <w:top w:val="single" w:sz="6" w:space="0" w:color="000000"/>
              <w:bottom w:val="single" w:sz="6" w:space="0" w:color="000000"/>
            </w:tcBorders>
          </w:tcPr>
          <w:p>
            <w:pPr>
              <w:pStyle w:val="Normal"/>
              <w:spacing w:before="120" w:after="0"/>
              <w:rPr/>
            </w:pPr>
            <w:r>
              <w:rPr/>
              <w:t>John Schwartzenburg</w:t>
            </w:r>
          </w:p>
        </w:tc>
        <w:tc>
          <w:tcPr>
            <w:tcW w:w="354" w:type="dxa"/>
            <w:tcBorders/>
          </w:tcPr>
          <w:p>
            <w:pPr>
              <w:pStyle w:val="Normal"/>
              <w:snapToGrid w:val="false"/>
              <w:spacing w:before="120" w:after="0"/>
              <w:rPr/>
            </w:pPr>
            <w:r>
              <w:rPr/>
            </w:r>
          </w:p>
        </w:tc>
        <w:tc>
          <w:tcPr>
            <w:tcW w:w="2924" w:type="dxa"/>
            <w:tcBorders>
              <w:top w:val="single" w:sz="6" w:space="0" w:color="000000"/>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6" w:space="0" w:color="000000"/>
              <w:bottom w:val="single" w:sz="6"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RAC Management</w:t>
            </w:r>
          </w:p>
        </w:tc>
        <w:tc>
          <w:tcPr>
            <w:tcW w:w="360" w:type="dxa"/>
            <w:tcBorders/>
          </w:tcPr>
          <w:p>
            <w:pPr>
              <w:pStyle w:val="Normal"/>
              <w:snapToGrid w:val="false"/>
              <w:spacing w:before="120" w:after="0"/>
              <w:rPr/>
            </w:pPr>
            <w:r>
              <w:rPr/>
            </w:r>
          </w:p>
        </w:tc>
        <w:tc>
          <w:tcPr>
            <w:tcW w:w="2932" w:type="dxa"/>
            <w:tcBorders>
              <w:top w:val="single" w:sz="6" w:space="0" w:color="000000"/>
              <w:bottom w:val="single" w:sz="6" w:space="0" w:color="000000"/>
            </w:tcBorders>
          </w:tcPr>
          <w:p>
            <w:pPr>
              <w:pStyle w:val="Normal"/>
              <w:spacing w:before="120" w:after="0"/>
              <w:rPr/>
            </w:pPr>
            <w:r>
              <w:rPr/>
              <w:t>Rick Buy/Dave Gorte</w:t>
            </w:r>
          </w:p>
        </w:tc>
        <w:tc>
          <w:tcPr>
            <w:tcW w:w="354" w:type="dxa"/>
            <w:tcBorders/>
          </w:tcPr>
          <w:p>
            <w:pPr>
              <w:pStyle w:val="Normal"/>
              <w:snapToGrid w:val="false"/>
              <w:spacing w:before="120" w:after="0"/>
              <w:rPr/>
            </w:pPr>
            <w:r>
              <w:rPr/>
            </w:r>
          </w:p>
        </w:tc>
        <w:tc>
          <w:tcPr>
            <w:tcW w:w="2924" w:type="dxa"/>
            <w:tcBorders>
              <w:top w:val="single" w:sz="6" w:space="0" w:color="000000"/>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6"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Enron Capital Management</w:t>
            </w:r>
          </w:p>
        </w:tc>
        <w:tc>
          <w:tcPr>
            <w:tcW w:w="360" w:type="dxa"/>
            <w:tcBorders/>
          </w:tcPr>
          <w:p>
            <w:pPr>
              <w:pStyle w:val="Normal"/>
              <w:snapToGrid w:val="false"/>
              <w:spacing w:before="120" w:after="0"/>
              <w:rPr/>
            </w:pPr>
            <w:r>
              <w:rPr/>
            </w:r>
          </w:p>
        </w:tc>
        <w:tc>
          <w:tcPr>
            <w:tcW w:w="2932" w:type="dxa"/>
            <w:tcBorders>
              <w:top w:val="single" w:sz="6" w:space="0" w:color="000000"/>
            </w:tcBorders>
          </w:tcPr>
          <w:p>
            <w:pPr>
              <w:pStyle w:val="Normal"/>
              <w:spacing w:before="120" w:after="0"/>
              <w:rPr/>
            </w:pPr>
            <w:r>
              <w:rPr/>
              <w:t>Andy Fastow/Ben Glisan</w:t>
            </w:r>
          </w:p>
        </w:tc>
        <w:tc>
          <w:tcPr>
            <w:tcW w:w="354" w:type="dxa"/>
            <w:tcBorders/>
          </w:tcPr>
          <w:p>
            <w:pPr>
              <w:pStyle w:val="Normal"/>
              <w:snapToGrid w:val="false"/>
              <w:spacing w:before="120" w:after="0"/>
              <w:rPr/>
            </w:pPr>
            <w:r>
              <w:rPr/>
            </w:r>
          </w:p>
        </w:tc>
        <w:tc>
          <w:tcPr>
            <w:tcW w:w="2924" w:type="dxa"/>
            <w:tcBorders>
              <w:top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6" w:space="0" w:color="000000"/>
              <w:bottom w:val="single" w:sz="6"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ENE Management</w:t>
            </w:r>
          </w:p>
        </w:tc>
        <w:tc>
          <w:tcPr>
            <w:tcW w:w="360" w:type="dxa"/>
            <w:tcBorders/>
          </w:tcPr>
          <w:p>
            <w:pPr>
              <w:pStyle w:val="Normal"/>
              <w:snapToGrid w:val="false"/>
              <w:spacing w:before="120" w:after="0"/>
              <w:rPr/>
            </w:pPr>
            <w:r>
              <w:rPr/>
            </w:r>
          </w:p>
        </w:tc>
        <w:tc>
          <w:tcPr>
            <w:tcW w:w="2932" w:type="dxa"/>
            <w:tcBorders>
              <w:top w:val="single" w:sz="6" w:space="0" w:color="000000"/>
              <w:bottom w:val="single" w:sz="4" w:space="0" w:color="000000"/>
            </w:tcBorders>
          </w:tcPr>
          <w:p>
            <w:pPr>
              <w:pStyle w:val="Normal"/>
              <w:spacing w:before="120" w:after="0"/>
              <w:rPr/>
            </w:pPr>
            <w:r>
              <w:rPr/>
              <w:t>Jeff Skilling</w:t>
            </w:r>
          </w:p>
        </w:tc>
        <w:tc>
          <w:tcPr>
            <w:tcW w:w="354" w:type="dxa"/>
            <w:tcBorders/>
          </w:tcPr>
          <w:p>
            <w:pPr>
              <w:pStyle w:val="Normal"/>
              <w:snapToGrid w:val="false"/>
              <w:spacing w:before="120" w:after="0"/>
              <w:rPr/>
            </w:pPr>
            <w:r>
              <w:rPr/>
            </w:r>
          </w:p>
        </w:tc>
        <w:tc>
          <w:tcPr>
            <w:tcW w:w="2924" w:type="dxa"/>
            <w:tcBorders>
              <w:top w:val="single" w:sz="6" w:space="0" w:color="000000"/>
              <w:bottom w:val="single" w:sz="4"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bottom w:val="single" w:sz="6" w:space="0" w:color="000000"/>
            </w:tcBorders>
          </w:tcPr>
          <w:p>
            <w:pPr>
              <w:pStyle w:val="Normal"/>
              <w:snapToGrid w:val="false"/>
              <w:spacing w:before="120" w:after="0"/>
              <w:rPr/>
            </w:pPr>
            <w:r>
              <w:rPr/>
            </w:r>
          </w:p>
        </w:tc>
      </w:tr>
    </w:tbl>
    <w:p>
      <w:pPr>
        <w:pStyle w:val="Normal"/>
        <w:rPr>
          <w:b/>
        </w:rPr>
      </w:pPr>
      <w:r>
        <w:rPr>
          <w:b/>
        </w:rPr>
      </w:r>
    </w:p>
    <w:p>
      <w:pPr>
        <w:pStyle w:val="Normal"/>
        <w:rPr/>
      </w:pPr>
      <w:r>
        <w:rPr/>
        <w:t xml:space="preserve"> </w:t>
      </w:r>
    </w:p>
    <w:p>
      <w:pPr>
        <w:pStyle w:val="Normal"/>
        <w:pBdr>
          <w:top w:val="single" w:sz="8" w:space="1" w:color="000000"/>
        </w:pBdr>
        <w:ind w:firstLine="720" w:end="0"/>
        <w:rPr/>
      </w:pPr>
      <w:r>
        <w:rPr/>
      </w:r>
    </w:p>
    <w:sectPr>
      <w:footerReference w:type="default" r:id="rId2"/>
      <w:type w:val="nextPage"/>
      <w:pgSz w:w="12240" w:h="15840"/>
      <w:pgMar w:left="1008" w:right="1008" w:gutter="0" w:header="0" w:top="432"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rFonts w:ascii="Arial" w:hAnsi="Arial" w:cs="Arial"/>
        <w:sz w:val="16"/>
      </w:rPr>
    </w:pPr>
    <w:r>
      <w:rPr>
        <w:rFonts w:cs="Arial" w:ascii="Arial" w:hAnsi="Arial"/>
        <w:sz w:val="16"/>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4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widowControl w:val="false"/>
      <w:numPr>
        <w:ilvl w:val="1"/>
        <w:numId w:val="1"/>
      </w:numPr>
      <w:outlineLvl w:val="1"/>
    </w:pPr>
    <w:rPr>
      <w:b/>
      <w:i/>
      <w:sz w:val="20"/>
    </w:rPr>
  </w:style>
  <w:style w:type="paragraph" w:styleId="Heading3">
    <w:name w:val="heading 3"/>
    <w:basedOn w:val="Normal"/>
    <w:next w:val="Normal"/>
    <w:qFormat/>
    <w:pPr>
      <w:keepNext w:val="true"/>
      <w:widowControl w:val="false"/>
      <w:numPr>
        <w:ilvl w:val="2"/>
        <w:numId w:val="1"/>
      </w:numPr>
      <w:ind w:hanging="0" w:start="0" w:end="-1196"/>
      <w:outlineLvl w:val="2"/>
    </w:pPr>
    <w:rPr>
      <w:b/>
      <w:sz w:val="20"/>
    </w:rPr>
  </w:style>
  <w:style w:type="paragraph" w:styleId="Heading4">
    <w:name w:val="heading 4"/>
    <w:basedOn w:val="Normal"/>
    <w:next w:val="Normal"/>
    <w:qFormat/>
    <w:pPr>
      <w:keepNext w:val="true"/>
      <w:numPr>
        <w:ilvl w:val="3"/>
        <w:numId w:val="1"/>
      </w:numPr>
      <w:pBdr>
        <w:top w:val="single" w:sz="4" w:space="1" w:color="000000"/>
      </w:pBdr>
      <w:tabs>
        <w:tab w:val="clear" w:pos="720"/>
        <w:tab w:val="left" w:pos="9990" w:leader="none"/>
      </w:tabs>
      <w:ind w:hanging="0" w:start="0" w:end="-36"/>
      <w:outlineLvl w:val="3"/>
    </w:pPr>
    <w:rPr>
      <w:b/>
    </w:rPr>
  </w:style>
  <w:style w:type="paragraph" w:styleId="Heading5">
    <w:name w:val="heading 5"/>
    <w:basedOn w:val="Normal"/>
    <w:next w:val="Normal"/>
    <w:qFormat/>
    <w:pPr>
      <w:keepNext w:val="true"/>
      <w:numPr>
        <w:ilvl w:val="4"/>
        <w:numId w:val="1"/>
      </w:numPr>
      <w:jc w:val="end"/>
      <w:outlineLvl w:val="4"/>
    </w:pPr>
    <w:rPr>
      <w:b/>
    </w:rPr>
  </w:style>
  <w:style w:type="paragraph" w:styleId="Heading6">
    <w:name w:val="heading 6"/>
    <w:basedOn w:val="Normal"/>
    <w:next w:val="Normal"/>
    <w:qFormat/>
    <w:pPr>
      <w:keepNext w:val="true"/>
      <w:numPr>
        <w:ilvl w:val="5"/>
        <w:numId w:val="1"/>
      </w:numPr>
      <w:outlineLvl w:val="5"/>
    </w:pPr>
    <w:rPr>
      <w:i/>
    </w:rPr>
  </w:style>
  <w:style w:type="paragraph" w:styleId="Heading7">
    <w:name w:val="heading 7"/>
    <w:basedOn w:val="Normal"/>
    <w:next w:val="Normal"/>
    <w:qFormat/>
    <w:pPr>
      <w:keepNext w:val="true"/>
      <w:widowControl w:val="false"/>
      <w:numPr>
        <w:ilvl w:val="6"/>
        <w:numId w:val="1"/>
      </w:numPr>
      <w:outlineLvl w:val="6"/>
    </w:pPr>
    <w:rPr>
      <w:b/>
      <w:i/>
      <w:sz w:val="20"/>
    </w:rPr>
  </w:style>
  <w:style w:type="paragraph" w:styleId="Heading8">
    <w:name w:val="heading 8"/>
    <w:basedOn w:val="Normal"/>
    <w:next w:val="Normal"/>
    <w:qFormat/>
    <w:pPr>
      <w:keepNext w:val="true"/>
      <w:numPr>
        <w:ilvl w:val="7"/>
        <w:numId w:val="1"/>
      </w:numPr>
      <w:pBdr>
        <w:top w:val="single" w:sz="4" w:space="1" w:color="000000"/>
        <w:left w:val="single" w:sz="4" w:space="4" w:color="000000"/>
        <w:bottom w:val="single" w:sz="4" w:space="1" w:color="000000"/>
        <w:right w:val="single" w:sz="4" w:space="4" w:color="000000"/>
      </w:pBdr>
      <w:outlineLvl w:val="7"/>
    </w:pPr>
    <w:rPr>
      <w:i/>
      <w:color w:val="FF0000"/>
    </w:rPr>
  </w:style>
  <w:style w:type="paragraph" w:styleId="Heading9">
    <w:name w:val="heading 9"/>
    <w:basedOn w:val="Normal"/>
    <w:next w:val="Normal"/>
    <w:qFormat/>
    <w:pPr>
      <w:keepNext w:val="true"/>
      <w:widowControl w:val="false"/>
      <w:numPr>
        <w:ilvl w:val="8"/>
        <w:numId w:val="1"/>
      </w:numPr>
      <w:tabs>
        <w:tab w:val="clear" w:pos="720"/>
        <w:tab w:val="left" w:pos="2870" w:leader="none"/>
        <w:tab w:val="left" w:pos="3617" w:leader="none"/>
      </w:tabs>
      <w:ind w:hanging="0" w:start="420" w:end="-217"/>
      <w:outlineLvl w:val="8"/>
    </w:pPr>
    <w:rPr>
      <w:b/>
      <w:sz w:val="20"/>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b w:val="false"/>
      <w:i w:val="false"/>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b w:val="false"/>
      <w:i w:val="false"/>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8z0">
    <w:name w:val="WW8Num18z0"/>
    <w:qFormat/>
    <w:rPr>
      <w:rFonts w:ascii="Wingdings" w:hAnsi="Wingdings" w:cs="Wingdings"/>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Wingdings" w:hAnsi="Wingdings" w:cs="Wingdings"/>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8z0">
    <w:name w:val="WW8Num28z0"/>
    <w:qFormat/>
    <w:rPr>
      <w:rFonts w:ascii="Symbol" w:hAnsi="Symbol" w:cs="Symbol"/>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34z0">
    <w:name w:val="WW8Num34z0"/>
    <w:qFormat/>
    <w:rPr>
      <w:rFonts w:ascii="Symbol" w:hAnsi="Symbol" w:cs="Symbol"/>
    </w:rPr>
  </w:style>
  <w:style w:type="character" w:styleId="WW8Num35z0">
    <w:name w:val="WW8Num35z0"/>
    <w:qFormat/>
    <w:rPr>
      <w:rFonts w:ascii="Symbol" w:hAnsi="Symbol" w:cs="Symbol"/>
    </w:rPr>
  </w:style>
  <w:style w:type="character" w:styleId="WW8Num36z0">
    <w:name w:val="WW8Num36z0"/>
    <w:qFormat/>
    <w:rPr>
      <w:rFonts w:ascii="Symbol" w:hAnsi="Symbol" w:cs="Symbol"/>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WW8Num39z0">
    <w:name w:val="WW8Num39z0"/>
    <w:qFormat/>
    <w:rPr>
      <w:rFonts w:ascii="Symbol" w:hAnsi="Symbol" w:cs="Symbol"/>
    </w:rPr>
  </w:style>
  <w:style w:type="character" w:styleId="WW8Num41z0">
    <w:name w:val="WW8Num41z0"/>
    <w:qFormat/>
    <w:rPr>
      <w:rFonts w:ascii="Symbol" w:hAnsi="Symbol" w:cs="Symbol"/>
    </w:rPr>
  </w:style>
  <w:style w:type="character" w:styleId="WW8Num42z0">
    <w:name w:val="WW8Num42z0"/>
    <w:qFormat/>
    <w:rPr>
      <w:rFonts w:ascii="Symbol" w:hAnsi="Symbol" w:cs="Symbol"/>
    </w:rPr>
  </w:style>
  <w:style w:type="character" w:styleId="WW8Num43z0">
    <w:name w:val="WW8Num43z0"/>
    <w:qFormat/>
    <w:rPr>
      <w:rFonts w:ascii="Symbol" w:hAnsi="Symbol" w:cs="Symbol"/>
    </w:rPr>
  </w:style>
  <w:style w:type="character" w:styleId="WW8Num44z0">
    <w:name w:val="WW8Num44z0"/>
    <w:qFormat/>
    <w:rPr>
      <w:rFonts w:ascii="Symbol" w:hAnsi="Symbol" w:cs="Symbol"/>
    </w:rPr>
  </w:style>
  <w:style w:type="character" w:styleId="WW8Num45z0">
    <w:name w:val="WW8Num45z0"/>
    <w:qFormat/>
    <w:rPr>
      <w:rFonts w:ascii="Symbol" w:hAnsi="Symbol" w:cs="Symbol"/>
    </w:rPr>
  </w:style>
  <w:style w:type="character" w:styleId="WW8Num46z0">
    <w:name w:val="WW8Num46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jc w:val="center"/>
    </w:pPr>
    <w:rPr>
      <w:b/>
      <w:sz w:val="32"/>
    </w:rPr>
  </w:style>
  <w:style w:type="paragraph" w:styleId="BodyText">
    <w:name w:val="Body Text"/>
    <w:basedOn w:val="Normal"/>
    <w:pPr/>
    <w:rPr>
      <w:sz w:val="20"/>
    </w:rPr>
  </w:style>
  <w:style w:type="paragraph" w:styleId="List">
    <w:name w:val="List"/>
    <w:basedOn w:val="Normal"/>
    <w:pPr>
      <w:ind w:hanging="360" w:start="360" w:end="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0"/>
    </w:rPr>
  </w:style>
  <w:style w:type="paragraph" w:styleId="BodyText3">
    <w:name w:val="Body Text 3"/>
    <w:basedOn w:val="Normal"/>
    <w:qFormat/>
    <w:pPr>
      <w:widowControl w:val="false"/>
    </w:pPr>
    <w:rPr>
      <w:color w:val="FF0000"/>
      <w:sz w:val="20"/>
    </w:rPr>
  </w:style>
  <w:style w:type="paragraph" w:styleId="Footer">
    <w:name w:val="footer"/>
    <w:basedOn w:val="Normal"/>
    <w:pPr>
      <w:widowControl w:val="false"/>
      <w:tabs>
        <w:tab w:val="clear" w:pos="720"/>
        <w:tab w:val="center" w:pos="4320" w:leader="none"/>
        <w:tab w:val="right" w:pos="8640" w:leader="none"/>
      </w:tabs>
    </w:pPr>
    <w:rPr>
      <w:sz w:val="20"/>
    </w:rPr>
  </w:style>
  <w:style w:type="paragraph" w:styleId="BodyText2">
    <w:name w:val="Body Text 2"/>
    <w:basedOn w:val="Normal"/>
    <w:qFormat/>
    <w:pPr/>
    <w:rPr>
      <w:color w:val="FF0000"/>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rPr>
      <w:color w:val="FF000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2001-04-03T12:46:00Z</dcterms:created>
  <dc:creator>mruane</dc:creator>
  <dc:description/>
  <dc:language>en-CA</dc:language>
  <cp:lastModifiedBy>soliver</cp:lastModifiedBy>
  <cp:lastPrinted>2001-04-03T15:22:00Z</cp:lastPrinted>
  <dcterms:modified xsi:type="dcterms:W3CDTF">2001-04-03T17:54:00Z</dcterms:modified>
  <cp:revision>8</cp:revision>
  <dc:subject/>
  <dc:title>ENRON RISK ASSESSMENT AND CONTROL</dc:title>
</cp:coreProperties>
</file>